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76C" w:rsidRPr="006649B3" w:rsidRDefault="001346A6" w:rsidP="0007176C">
      <w:pPr>
        <w:spacing w:after="0" w:line="240" w:lineRule="auto"/>
        <w:rPr>
          <w:rFonts w:ascii="Times New Roman" w:eastAsia="Times New Roman" w:hAnsi="Times New Roman" w:cs="Times New Roman"/>
          <w:sz w:val="24"/>
          <w:szCs w:val="24"/>
          <w:vertAlign w:val="superscript"/>
        </w:rPr>
      </w:pPr>
      <w:r>
        <w:rPr>
          <w:rFonts w:eastAsia="Times New Roman"/>
          <w:b/>
          <w:bCs/>
        </w:rPr>
        <w:t>TL 2</w:t>
      </w:r>
      <w:bookmarkStart w:id="0" w:name="_GoBack"/>
      <w:bookmarkEnd w:id="0"/>
      <w:r w:rsidR="00E90CED">
        <w:rPr>
          <w:rFonts w:eastAsia="Times New Roman"/>
          <w:b/>
          <w:bCs/>
        </w:rPr>
        <w:br/>
        <w:t xml:space="preserve">CONCENTRACIONES ELEVADAS DE DHEAS A LOS 7 AÑOS SE ASOCIAN CON GLICEMIAS AUMENTADAS DURANTE LA PUBERTAD PERO NO CON SINDROME METABÓLICO </w:t>
      </w:r>
      <w:r w:rsidR="00E90CED">
        <w:rPr>
          <w:rFonts w:eastAsia="Times New Roman"/>
        </w:rPr>
        <w:br/>
      </w:r>
      <w:r w:rsidR="00E90CED">
        <w:rPr>
          <w:rFonts w:eastAsia="Times New Roman"/>
          <w:b/>
          <w:bCs/>
        </w:rPr>
        <w:t xml:space="preserve"> </w:t>
      </w:r>
      <w:r w:rsidR="0007176C" w:rsidRPr="006649B3">
        <w:rPr>
          <w:rFonts w:ascii="Times New Roman" w:eastAsia="Times New Roman" w:hAnsi="Times New Roman" w:cs="Times New Roman"/>
          <w:sz w:val="24"/>
          <w:szCs w:val="24"/>
        </w:rPr>
        <w:t>Germán Iñiguez Vila</w:t>
      </w:r>
      <w:r w:rsidR="00E90CED" w:rsidRPr="006649B3">
        <w:rPr>
          <w:rFonts w:ascii="Times New Roman" w:eastAsia="Times New Roman" w:hAnsi="Times New Roman" w:cs="Times New Roman"/>
          <w:sz w:val="24"/>
          <w:szCs w:val="24"/>
          <w:vertAlign w:val="superscript"/>
        </w:rPr>
        <w:t>1</w:t>
      </w:r>
      <w:r w:rsidR="00E90CED" w:rsidRPr="006649B3">
        <w:rPr>
          <w:rFonts w:ascii="Times New Roman" w:eastAsia="Times New Roman" w:hAnsi="Times New Roman" w:cs="Times New Roman"/>
          <w:sz w:val="24"/>
          <w:szCs w:val="24"/>
        </w:rPr>
        <w:t>, Ana Pereira Scalabrino</w:t>
      </w:r>
      <w:r w:rsidR="00E90CED" w:rsidRPr="006649B3">
        <w:rPr>
          <w:rFonts w:ascii="Times New Roman" w:eastAsia="Times New Roman" w:hAnsi="Times New Roman" w:cs="Times New Roman"/>
          <w:sz w:val="24"/>
          <w:szCs w:val="24"/>
          <w:vertAlign w:val="superscript"/>
        </w:rPr>
        <w:t>2</w:t>
      </w:r>
      <w:r w:rsidR="00E90CED" w:rsidRPr="006649B3">
        <w:rPr>
          <w:rFonts w:ascii="Times New Roman" w:eastAsia="Times New Roman" w:hAnsi="Times New Roman" w:cs="Times New Roman"/>
          <w:sz w:val="24"/>
          <w:szCs w:val="24"/>
        </w:rPr>
        <w:t>, P</w:t>
      </w:r>
      <w:r w:rsidR="0007176C" w:rsidRPr="006649B3">
        <w:rPr>
          <w:rFonts w:ascii="Times New Roman" w:eastAsia="Times New Roman" w:hAnsi="Times New Roman" w:cs="Times New Roman"/>
          <w:sz w:val="24"/>
          <w:szCs w:val="24"/>
        </w:rPr>
        <w:t>aulina Merino Osorio</w:t>
      </w:r>
      <w:r w:rsidR="00E90CED" w:rsidRPr="006649B3">
        <w:rPr>
          <w:rFonts w:ascii="Times New Roman" w:eastAsia="Times New Roman" w:hAnsi="Times New Roman" w:cs="Times New Roman"/>
          <w:sz w:val="24"/>
          <w:szCs w:val="24"/>
          <w:vertAlign w:val="superscript"/>
        </w:rPr>
        <w:t>1</w:t>
      </w:r>
      <w:r w:rsidR="00E90CED" w:rsidRPr="006649B3">
        <w:rPr>
          <w:rFonts w:ascii="Times New Roman" w:eastAsia="Times New Roman" w:hAnsi="Times New Roman" w:cs="Times New Roman"/>
          <w:sz w:val="24"/>
          <w:szCs w:val="24"/>
        </w:rPr>
        <w:t>, M</w:t>
      </w:r>
      <w:r w:rsidR="0007176C" w:rsidRPr="006649B3">
        <w:rPr>
          <w:rFonts w:ascii="Times New Roman" w:eastAsia="Times New Roman" w:hAnsi="Times New Roman" w:cs="Times New Roman"/>
          <w:sz w:val="24"/>
          <w:szCs w:val="24"/>
        </w:rPr>
        <w:t>aría Verónica Mericq Guilá</w:t>
      </w:r>
      <w:r w:rsidR="00E90CED" w:rsidRPr="006649B3">
        <w:rPr>
          <w:rFonts w:ascii="Times New Roman" w:eastAsia="Times New Roman" w:hAnsi="Times New Roman" w:cs="Times New Roman"/>
          <w:sz w:val="24"/>
          <w:szCs w:val="24"/>
          <w:vertAlign w:val="superscript"/>
        </w:rPr>
        <w:t>1</w:t>
      </w:r>
    </w:p>
    <w:p w:rsidR="00AD6965" w:rsidRPr="006649B3" w:rsidRDefault="00E90CED" w:rsidP="0007176C">
      <w:pPr>
        <w:spacing w:after="0" w:line="240" w:lineRule="auto"/>
        <w:rPr>
          <w:rFonts w:ascii="Times New Roman" w:eastAsia="Times New Roman" w:hAnsi="Times New Roman" w:cs="Times New Roman"/>
          <w:sz w:val="24"/>
          <w:szCs w:val="24"/>
        </w:rPr>
      </w:pPr>
      <w:r w:rsidRPr="006649B3">
        <w:rPr>
          <w:rFonts w:ascii="Times New Roman" w:eastAsia="Times New Roman" w:hAnsi="Times New Roman" w:cs="Times New Roman"/>
          <w:b/>
          <w:bCs/>
          <w:sz w:val="24"/>
          <w:szCs w:val="24"/>
        </w:rPr>
        <w:t xml:space="preserve"> </w:t>
      </w:r>
      <w:r w:rsidRPr="006649B3">
        <w:rPr>
          <w:rFonts w:ascii="Times New Roman" w:eastAsia="Times New Roman" w:hAnsi="Times New Roman" w:cs="Times New Roman"/>
          <w:sz w:val="24"/>
          <w:szCs w:val="24"/>
          <w:vertAlign w:val="superscript"/>
        </w:rPr>
        <w:t>1</w:t>
      </w:r>
      <w:r w:rsidRPr="006649B3">
        <w:rPr>
          <w:rFonts w:ascii="Times New Roman" w:eastAsia="Times New Roman" w:hAnsi="Times New Roman" w:cs="Times New Roman"/>
          <w:sz w:val="24"/>
          <w:szCs w:val="24"/>
        </w:rPr>
        <w:t xml:space="preserve"> Instituto de Investigaciones Materno Infantil (IDIMI), Facultad de Medicina, Universidad de Chile, </w:t>
      </w:r>
      <w:r w:rsidRPr="006649B3">
        <w:rPr>
          <w:rFonts w:ascii="Times New Roman" w:eastAsia="Times New Roman" w:hAnsi="Times New Roman" w:cs="Times New Roman"/>
          <w:sz w:val="24"/>
          <w:szCs w:val="24"/>
          <w:vertAlign w:val="superscript"/>
        </w:rPr>
        <w:t>2</w:t>
      </w:r>
      <w:r w:rsidRPr="006649B3">
        <w:rPr>
          <w:rFonts w:ascii="Times New Roman" w:eastAsia="Times New Roman" w:hAnsi="Times New Roman" w:cs="Times New Roman"/>
          <w:sz w:val="24"/>
          <w:szCs w:val="24"/>
        </w:rPr>
        <w:t xml:space="preserve"> Instituto de Nutrición y Tecnología de los Alimentos (INTA), Universidad de Chile</w:t>
      </w:r>
      <w:r w:rsidRPr="006649B3">
        <w:rPr>
          <w:rFonts w:ascii="Times New Roman" w:eastAsia="Times New Roman" w:hAnsi="Times New Roman" w:cs="Times New Roman"/>
          <w:sz w:val="24"/>
          <w:szCs w:val="24"/>
        </w:rPr>
        <w:br/>
      </w:r>
    </w:p>
    <w:p w:rsidR="00DD53AD" w:rsidRPr="006649B3" w:rsidRDefault="00E90CED" w:rsidP="0007176C">
      <w:pPr>
        <w:pStyle w:val="NormalWeb"/>
        <w:spacing w:before="0" w:beforeAutospacing="0" w:after="0" w:afterAutospacing="0"/>
        <w:jc w:val="both"/>
      </w:pPr>
      <w:r w:rsidRPr="006649B3">
        <w:rPr>
          <w:rStyle w:val="Textoennegrita"/>
        </w:rPr>
        <w:t>Introducción:</w:t>
      </w:r>
      <w:r w:rsidRPr="006649B3">
        <w:t xml:space="preserve"> La adrenarquia prematura (AP) se ha identificado como un factor de riesgo para enfermedades metabólicas. Este riesgo puede depender de factores como la etnia, peso de nacimiento y ganancia de peso en la</w:t>
      </w:r>
      <w:r w:rsidR="00DD53AD" w:rsidRPr="006649B3">
        <w:t xml:space="preserve"> infancia. En la cohorte ECCO (</w:t>
      </w:r>
      <w:r w:rsidRPr="006649B3">
        <w:t>Estudio</w:t>
      </w:r>
      <w:r w:rsidR="006649B3" w:rsidRPr="006649B3">
        <w:t xml:space="preserve"> </w:t>
      </w:r>
      <w:r w:rsidRPr="006649B3">
        <w:t>longitudinal Chileno de Crecimiento y Obesidad) los sujetos a los 7 años que poseían altas concentraciones de DHEAS (&gt;adrenarquiabioquimica =AD) presentaban mayor obesidad/sobrepeso y % de grasa en comparación a aquellos con DHEAS más bajos (ND).</w:t>
      </w:r>
    </w:p>
    <w:p w:rsidR="00DD53AD" w:rsidRPr="006649B3" w:rsidRDefault="00E90CED" w:rsidP="0007176C">
      <w:pPr>
        <w:pStyle w:val="NormalWeb"/>
        <w:spacing w:before="0" w:beforeAutospacing="0" w:after="0" w:afterAutospacing="0"/>
        <w:jc w:val="both"/>
      </w:pPr>
      <w:r w:rsidRPr="006649B3">
        <w:rPr>
          <w:rStyle w:val="Textoennegrita"/>
        </w:rPr>
        <w:t>Objetivo:</w:t>
      </w:r>
      <w:r w:rsidRPr="006649B3">
        <w:t xml:space="preserve"> Establecer si la adrenarquia bioquímica en niñas de 7 años determina una mayor prevalencia de síndrome metabólico (SM) o sus componentes durante la pubertad.</w:t>
      </w:r>
    </w:p>
    <w:p w:rsidR="0007176C" w:rsidRPr="006649B3" w:rsidRDefault="00E90CED" w:rsidP="0007176C">
      <w:pPr>
        <w:pStyle w:val="NormalWeb"/>
        <w:spacing w:before="0" w:beforeAutospacing="0" w:after="0" w:afterAutospacing="0"/>
        <w:jc w:val="both"/>
      </w:pPr>
      <w:r w:rsidRPr="006649B3">
        <w:rPr>
          <w:rStyle w:val="Textoennegrita"/>
        </w:rPr>
        <w:t>Métodos:</w:t>
      </w:r>
      <w:r w:rsidRPr="006649B3">
        <w:t xml:space="preserve"> Niñas de la cohorte ECCO con AD (de</w:t>
      </w:r>
      <w:r w:rsidR="00DD53AD" w:rsidRPr="006649B3">
        <w:t xml:space="preserve">finidas por DHEAS &gt; 420 </w:t>
      </w:r>
      <w:proofErr w:type="spellStart"/>
      <w:r w:rsidR="00DD53AD" w:rsidRPr="006649B3">
        <w:t>ng</w:t>
      </w:r>
      <w:proofErr w:type="spellEnd"/>
      <w:r w:rsidR="00DD53AD" w:rsidRPr="006649B3">
        <w:t>/ml (</w:t>
      </w:r>
      <w:r w:rsidRPr="006649B3">
        <w:t>&gt; P75 a los 7 años) se evaluaron al momento de Tanner 2 y 4 de mamas. El Síndrome metabólico fue definido de acuerdo a lo sugerido por la IDF 2007. Se realizaron análisis usando modelos lineales y de sobrevida para establecer la posible relación entre AD y las características antropométricas metabólicas a los estadios M2 (n=401) y M4 (n=357). Los resultados se ajustaron por cambio de peso durante la infancia (&gt;0.67 SDS en primer año), edad de la menarquía, talla y educación materna.</w:t>
      </w:r>
    </w:p>
    <w:p w:rsidR="00AD6965" w:rsidRPr="006649B3" w:rsidRDefault="00E90CED" w:rsidP="0007176C">
      <w:pPr>
        <w:pStyle w:val="NormalWeb"/>
        <w:spacing w:before="0" w:beforeAutospacing="0" w:after="0" w:afterAutospacing="0"/>
        <w:jc w:val="both"/>
      </w:pPr>
      <w:r w:rsidRPr="006649B3">
        <w:rPr>
          <w:rStyle w:val="Textoennegrita"/>
        </w:rPr>
        <w:t>Resultados:</w:t>
      </w:r>
      <w:r w:rsidRPr="006649B3">
        <w:t xml:space="preserve"> Las niñas de la cohorte ECCO con AD en Tanner 2 eran más jóvenes (8.8 (CI 95%CI; 7.9-9.3) vs </w:t>
      </w:r>
      <w:proofErr w:type="gramStart"/>
      <w:r w:rsidRPr="006649B3">
        <w:t>9.3(</w:t>
      </w:r>
      <w:proofErr w:type="gramEnd"/>
      <w:r w:rsidRPr="006649B3">
        <w:t>95%CI;9.1-9.6), mas altas y con un mayor IMC, que las niñas con DHEAS normales (DN). Ninguna niña mostró el criterio de SM de presión elevada. No se observaron diferencias entre AD y ND en el riesgo de SM o de sus componentes (Tabla</w:t>
      </w:r>
      <w:proofErr w:type="gramStart"/>
      <w:r w:rsidRPr="006649B3">
        <w:t>) .</w:t>
      </w:r>
      <w:proofErr w:type="gramEnd"/>
      <w:r w:rsidRPr="006649B3">
        <w:t xml:space="preserve"> Sin embargo, se encontró un mayor porcentaje de glicemias mayores a 100 mg/dl en las niñas AD en los estadios de Tanner 2 y 4 (*p&lt;0.05).</w:t>
      </w:r>
    </w:p>
    <w:p w:rsidR="00AD6965" w:rsidRDefault="00E90CED" w:rsidP="0007176C">
      <w:pPr>
        <w:pStyle w:val="NormalWeb"/>
        <w:spacing w:before="0" w:beforeAutospacing="0" w:after="0" w:afterAutospacing="0"/>
      </w:pPr>
      <w:r>
        <w:rPr>
          <w:rStyle w:val="Textoennegrita"/>
        </w:rPr>
        <w:t>Tanner mamas 2Tanner mamas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3"/>
        <w:gridCol w:w="1134"/>
        <w:gridCol w:w="1194"/>
        <w:gridCol w:w="1158"/>
        <w:gridCol w:w="1185"/>
      </w:tblGrid>
      <w:tr w:rsidR="00AD6965">
        <w:trPr>
          <w:tblCellSpacing w:w="15" w:type="dxa"/>
        </w:trPr>
        <w:tc>
          <w:tcPr>
            <w:tcW w:w="1788" w:type="dxa"/>
            <w:vAlign w:val="center"/>
            <w:hideMark/>
          </w:tcPr>
          <w:p w:rsidR="00AD6965" w:rsidRDefault="00AD6965" w:rsidP="0007176C">
            <w:pPr>
              <w:spacing w:after="0" w:line="240" w:lineRule="auto"/>
              <w:rPr>
                <w:rFonts w:eastAsia="Times New Roman"/>
                <w:sz w:val="16"/>
                <w:szCs w:val="16"/>
              </w:rPr>
            </w:pPr>
          </w:p>
        </w:tc>
        <w:tc>
          <w:tcPr>
            <w:tcW w:w="1104" w:type="dxa"/>
            <w:vAlign w:val="center"/>
            <w:hideMark/>
          </w:tcPr>
          <w:p w:rsidR="00AD6965" w:rsidRDefault="00E90CED" w:rsidP="0007176C">
            <w:pPr>
              <w:pStyle w:val="NormalWeb"/>
              <w:spacing w:before="0" w:beforeAutospacing="0" w:after="0" w:afterAutospacing="0"/>
              <w:rPr>
                <w:sz w:val="16"/>
                <w:szCs w:val="16"/>
              </w:rPr>
            </w:pPr>
            <w:proofErr w:type="gramStart"/>
            <w:r>
              <w:rPr>
                <w:sz w:val="16"/>
                <w:szCs w:val="16"/>
              </w:rPr>
              <w:t>AD :</w:t>
            </w:r>
            <w:proofErr w:type="gramEnd"/>
            <w:r>
              <w:rPr>
                <w:sz w:val="16"/>
                <w:szCs w:val="16"/>
              </w:rPr>
              <w:t xml:space="preserve"> n (%)</w:t>
            </w:r>
          </w:p>
        </w:tc>
        <w:tc>
          <w:tcPr>
            <w:tcW w:w="1164" w:type="dxa"/>
            <w:vAlign w:val="center"/>
            <w:hideMark/>
          </w:tcPr>
          <w:p w:rsidR="00AD6965" w:rsidRDefault="00E90CED" w:rsidP="0007176C">
            <w:pPr>
              <w:pStyle w:val="NormalWeb"/>
              <w:spacing w:before="0" w:beforeAutospacing="0" w:after="0" w:afterAutospacing="0"/>
              <w:rPr>
                <w:sz w:val="16"/>
                <w:szCs w:val="16"/>
              </w:rPr>
            </w:pPr>
            <w:r>
              <w:rPr>
                <w:sz w:val="16"/>
                <w:szCs w:val="16"/>
              </w:rPr>
              <w:t>ND: n (%)</w:t>
            </w:r>
          </w:p>
        </w:tc>
        <w:tc>
          <w:tcPr>
            <w:tcW w:w="1128" w:type="dxa"/>
            <w:vAlign w:val="center"/>
            <w:hideMark/>
          </w:tcPr>
          <w:p w:rsidR="00AD6965" w:rsidRDefault="00E90CED" w:rsidP="0007176C">
            <w:pPr>
              <w:pStyle w:val="NormalWeb"/>
              <w:spacing w:before="0" w:beforeAutospacing="0" w:after="0" w:afterAutospacing="0"/>
              <w:rPr>
                <w:sz w:val="16"/>
                <w:szCs w:val="16"/>
              </w:rPr>
            </w:pPr>
            <w:r>
              <w:rPr>
                <w:sz w:val="16"/>
                <w:szCs w:val="16"/>
              </w:rPr>
              <w:t>AD: n (%)</w:t>
            </w:r>
          </w:p>
        </w:tc>
        <w:tc>
          <w:tcPr>
            <w:tcW w:w="1140" w:type="dxa"/>
            <w:vAlign w:val="center"/>
            <w:hideMark/>
          </w:tcPr>
          <w:p w:rsidR="00AD6965" w:rsidRDefault="00E90CED" w:rsidP="0007176C">
            <w:pPr>
              <w:pStyle w:val="NormalWeb"/>
              <w:spacing w:before="0" w:beforeAutospacing="0" w:after="0" w:afterAutospacing="0"/>
              <w:rPr>
                <w:sz w:val="16"/>
                <w:szCs w:val="16"/>
              </w:rPr>
            </w:pPr>
            <w:r>
              <w:rPr>
                <w:sz w:val="16"/>
                <w:szCs w:val="16"/>
              </w:rPr>
              <w:t>ND: n (%)</w:t>
            </w:r>
          </w:p>
        </w:tc>
      </w:tr>
      <w:tr w:rsidR="00AD6965">
        <w:trPr>
          <w:tblCellSpacing w:w="15" w:type="dxa"/>
        </w:trPr>
        <w:tc>
          <w:tcPr>
            <w:tcW w:w="1788" w:type="dxa"/>
            <w:vAlign w:val="center"/>
            <w:hideMark/>
          </w:tcPr>
          <w:p w:rsidR="00AD6965" w:rsidRDefault="00E90CED" w:rsidP="0007176C">
            <w:pPr>
              <w:pStyle w:val="NormalWeb"/>
              <w:spacing w:before="0" w:beforeAutospacing="0" w:after="0" w:afterAutospacing="0"/>
              <w:rPr>
                <w:sz w:val="16"/>
                <w:szCs w:val="16"/>
              </w:rPr>
            </w:pPr>
            <w:r>
              <w:rPr>
                <w:sz w:val="16"/>
                <w:szCs w:val="16"/>
              </w:rPr>
              <w:t>Síndrome Metabólico</w:t>
            </w:r>
          </w:p>
        </w:tc>
        <w:tc>
          <w:tcPr>
            <w:tcW w:w="1104" w:type="dxa"/>
            <w:vAlign w:val="center"/>
            <w:hideMark/>
          </w:tcPr>
          <w:p w:rsidR="00AD6965" w:rsidRDefault="00E90CED" w:rsidP="0007176C">
            <w:pPr>
              <w:pStyle w:val="NormalWeb"/>
              <w:spacing w:before="0" w:beforeAutospacing="0" w:after="0" w:afterAutospacing="0"/>
              <w:rPr>
                <w:sz w:val="16"/>
                <w:szCs w:val="16"/>
              </w:rPr>
            </w:pPr>
            <w:r>
              <w:rPr>
                <w:sz w:val="16"/>
                <w:szCs w:val="16"/>
              </w:rPr>
              <w:t>3 (3.8)</w:t>
            </w:r>
          </w:p>
        </w:tc>
        <w:tc>
          <w:tcPr>
            <w:tcW w:w="1164" w:type="dxa"/>
            <w:vAlign w:val="center"/>
            <w:hideMark/>
          </w:tcPr>
          <w:p w:rsidR="00AD6965" w:rsidRDefault="00E90CED" w:rsidP="0007176C">
            <w:pPr>
              <w:pStyle w:val="NormalWeb"/>
              <w:spacing w:before="0" w:beforeAutospacing="0" w:after="0" w:afterAutospacing="0"/>
              <w:rPr>
                <w:sz w:val="16"/>
                <w:szCs w:val="16"/>
              </w:rPr>
            </w:pPr>
            <w:r>
              <w:rPr>
                <w:sz w:val="16"/>
                <w:szCs w:val="16"/>
              </w:rPr>
              <w:t>2 (0.7)</w:t>
            </w:r>
          </w:p>
        </w:tc>
        <w:tc>
          <w:tcPr>
            <w:tcW w:w="1128" w:type="dxa"/>
            <w:vAlign w:val="center"/>
            <w:hideMark/>
          </w:tcPr>
          <w:p w:rsidR="00AD6965" w:rsidRDefault="00E90CED" w:rsidP="0007176C">
            <w:pPr>
              <w:pStyle w:val="NormalWeb"/>
              <w:spacing w:before="0" w:beforeAutospacing="0" w:after="0" w:afterAutospacing="0"/>
              <w:rPr>
                <w:sz w:val="16"/>
                <w:szCs w:val="16"/>
              </w:rPr>
            </w:pPr>
            <w:r>
              <w:rPr>
                <w:sz w:val="16"/>
                <w:szCs w:val="16"/>
              </w:rPr>
              <w:t>2 (2.6)</w:t>
            </w:r>
          </w:p>
        </w:tc>
        <w:tc>
          <w:tcPr>
            <w:tcW w:w="1140" w:type="dxa"/>
            <w:vAlign w:val="center"/>
            <w:hideMark/>
          </w:tcPr>
          <w:p w:rsidR="00AD6965" w:rsidRDefault="00E90CED" w:rsidP="0007176C">
            <w:pPr>
              <w:pStyle w:val="NormalWeb"/>
              <w:spacing w:before="0" w:beforeAutospacing="0" w:after="0" w:afterAutospacing="0"/>
              <w:rPr>
                <w:sz w:val="16"/>
                <w:szCs w:val="16"/>
              </w:rPr>
            </w:pPr>
            <w:r>
              <w:rPr>
                <w:sz w:val="16"/>
                <w:szCs w:val="16"/>
              </w:rPr>
              <w:t>2 (0.8)</w:t>
            </w:r>
          </w:p>
        </w:tc>
      </w:tr>
      <w:tr w:rsidR="00AD6965">
        <w:trPr>
          <w:tblCellSpacing w:w="15" w:type="dxa"/>
        </w:trPr>
        <w:tc>
          <w:tcPr>
            <w:tcW w:w="1788" w:type="dxa"/>
            <w:vAlign w:val="center"/>
            <w:hideMark/>
          </w:tcPr>
          <w:p w:rsidR="00AD6965" w:rsidRDefault="00E90CED" w:rsidP="0007176C">
            <w:pPr>
              <w:pStyle w:val="NormalWeb"/>
              <w:spacing w:before="0" w:beforeAutospacing="0" w:after="0" w:afterAutospacing="0"/>
              <w:rPr>
                <w:sz w:val="16"/>
                <w:szCs w:val="16"/>
              </w:rPr>
            </w:pPr>
            <w:r>
              <w:rPr>
                <w:sz w:val="16"/>
                <w:szCs w:val="16"/>
              </w:rPr>
              <w:t>CC &gt;p90</w:t>
            </w:r>
          </w:p>
        </w:tc>
        <w:tc>
          <w:tcPr>
            <w:tcW w:w="1104" w:type="dxa"/>
            <w:vAlign w:val="center"/>
            <w:hideMark/>
          </w:tcPr>
          <w:p w:rsidR="00AD6965" w:rsidRDefault="00E90CED" w:rsidP="0007176C">
            <w:pPr>
              <w:pStyle w:val="NormalWeb"/>
              <w:spacing w:before="0" w:beforeAutospacing="0" w:after="0" w:afterAutospacing="0"/>
              <w:rPr>
                <w:sz w:val="16"/>
                <w:szCs w:val="16"/>
              </w:rPr>
            </w:pPr>
            <w:r>
              <w:rPr>
                <w:sz w:val="16"/>
                <w:szCs w:val="16"/>
              </w:rPr>
              <w:t>11 (12.9)</w:t>
            </w:r>
          </w:p>
        </w:tc>
        <w:tc>
          <w:tcPr>
            <w:tcW w:w="1164" w:type="dxa"/>
            <w:vAlign w:val="center"/>
            <w:hideMark/>
          </w:tcPr>
          <w:p w:rsidR="00AD6965" w:rsidRDefault="00E90CED" w:rsidP="0007176C">
            <w:pPr>
              <w:pStyle w:val="NormalWeb"/>
              <w:spacing w:before="0" w:beforeAutospacing="0" w:after="0" w:afterAutospacing="0"/>
              <w:rPr>
                <w:sz w:val="16"/>
                <w:szCs w:val="16"/>
              </w:rPr>
            </w:pPr>
            <w:r>
              <w:rPr>
                <w:sz w:val="16"/>
                <w:szCs w:val="16"/>
              </w:rPr>
              <w:t>27 (8.6)</w:t>
            </w:r>
          </w:p>
        </w:tc>
        <w:tc>
          <w:tcPr>
            <w:tcW w:w="1128" w:type="dxa"/>
            <w:vAlign w:val="center"/>
            <w:hideMark/>
          </w:tcPr>
          <w:p w:rsidR="00AD6965" w:rsidRDefault="00E90CED" w:rsidP="0007176C">
            <w:pPr>
              <w:pStyle w:val="NormalWeb"/>
              <w:spacing w:before="0" w:beforeAutospacing="0" w:after="0" w:afterAutospacing="0"/>
              <w:rPr>
                <w:sz w:val="16"/>
                <w:szCs w:val="16"/>
              </w:rPr>
            </w:pPr>
            <w:r>
              <w:rPr>
                <w:sz w:val="16"/>
                <w:szCs w:val="16"/>
              </w:rPr>
              <w:t>11 (13.2)</w:t>
            </w:r>
          </w:p>
        </w:tc>
        <w:tc>
          <w:tcPr>
            <w:tcW w:w="1140" w:type="dxa"/>
            <w:vAlign w:val="center"/>
            <w:hideMark/>
          </w:tcPr>
          <w:p w:rsidR="00AD6965" w:rsidRDefault="00E90CED" w:rsidP="0007176C">
            <w:pPr>
              <w:pStyle w:val="NormalWeb"/>
              <w:spacing w:before="0" w:beforeAutospacing="0" w:after="0" w:afterAutospacing="0"/>
              <w:rPr>
                <w:sz w:val="16"/>
                <w:szCs w:val="16"/>
              </w:rPr>
            </w:pPr>
            <w:r>
              <w:rPr>
                <w:sz w:val="16"/>
                <w:szCs w:val="16"/>
              </w:rPr>
              <w:t>34 (11)</w:t>
            </w:r>
          </w:p>
        </w:tc>
      </w:tr>
      <w:tr w:rsidR="00AD6965">
        <w:trPr>
          <w:tblCellSpacing w:w="15" w:type="dxa"/>
        </w:trPr>
        <w:tc>
          <w:tcPr>
            <w:tcW w:w="1788" w:type="dxa"/>
            <w:vAlign w:val="center"/>
            <w:hideMark/>
          </w:tcPr>
          <w:p w:rsidR="00AD6965" w:rsidRDefault="00E90CED" w:rsidP="0007176C">
            <w:pPr>
              <w:pStyle w:val="NormalWeb"/>
              <w:spacing w:before="0" w:beforeAutospacing="0" w:after="0" w:afterAutospacing="0"/>
              <w:rPr>
                <w:sz w:val="16"/>
                <w:szCs w:val="16"/>
              </w:rPr>
            </w:pPr>
            <w:r>
              <w:rPr>
                <w:sz w:val="16"/>
                <w:szCs w:val="16"/>
              </w:rPr>
              <w:t>TG &gt;150 mg/dl</w:t>
            </w:r>
          </w:p>
        </w:tc>
        <w:tc>
          <w:tcPr>
            <w:tcW w:w="1104" w:type="dxa"/>
            <w:vAlign w:val="center"/>
            <w:hideMark/>
          </w:tcPr>
          <w:p w:rsidR="00AD6965" w:rsidRDefault="00E90CED" w:rsidP="0007176C">
            <w:pPr>
              <w:pStyle w:val="NormalWeb"/>
              <w:spacing w:before="0" w:beforeAutospacing="0" w:after="0" w:afterAutospacing="0"/>
              <w:rPr>
                <w:sz w:val="16"/>
                <w:szCs w:val="16"/>
              </w:rPr>
            </w:pPr>
            <w:r>
              <w:rPr>
                <w:sz w:val="16"/>
                <w:szCs w:val="16"/>
              </w:rPr>
              <w:t>12 (15.0)</w:t>
            </w:r>
          </w:p>
        </w:tc>
        <w:tc>
          <w:tcPr>
            <w:tcW w:w="1164" w:type="dxa"/>
            <w:vAlign w:val="center"/>
            <w:hideMark/>
          </w:tcPr>
          <w:p w:rsidR="00AD6965" w:rsidRDefault="00E90CED" w:rsidP="0007176C">
            <w:pPr>
              <w:pStyle w:val="NormalWeb"/>
              <w:spacing w:before="0" w:beforeAutospacing="0" w:after="0" w:afterAutospacing="0"/>
              <w:rPr>
                <w:sz w:val="16"/>
                <w:szCs w:val="16"/>
              </w:rPr>
            </w:pPr>
            <w:r>
              <w:rPr>
                <w:sz w:val="16"/>
                <w:szCs w:val="16"/>
              </w:rPr>
              <w:t>34 (12.0)</w:t>
            </w:r>
          </w:p>
        </w:tc>
        <w:tc>
          <w:tcPr>
            <w:tcW w:w="1128" w:type="dxa"/>
            <w:vAlign w:val="center"/>
            <w:hideMark/>
          </w:tcPr>
          <w:p w:rsidR="00AD6965" w:rsidRDefault="00E90CED" w:rsidP="0007176C">
            <w:pPr>
              <w:pStyle w:val="NormalWeb"/>
              <w:spacing w:before="0" w:beforeAutospacing="0" w:after="0" w:afterAutospacing="0"/>
              <w:rPr>
                <w:sz w:val="16"/>
                <w:szCs w:val="16"/>
              </w:rPr>
            </w:pPr>
            <w:r>
              <w:rPr>
                <w:sz w:val="16"/>
                <w:szCs w:val="16"/>
              </w:rPr>
              <w:t>16 (20.7)</w:t>
            </w:r>
          </w:p>
        </w:tc>
        <w:tc>
          <w:tcPr>
            <w:tcW w:w="1140" w:type="dxa"/>
            <w:vAlign w:val="center"/>
            <w:hideMark/>
          </w:tcPr>
          <w:p w:rsidR="00AD6965" w:rsidRDefault="00E90CED" w:rsidP="0007176C">
            <w:pPr>
              <w:pStyle w:val="NormalWeb"/>
              <w:spacing w:before="0" w:beforeAutospacing="0" w:after="0" w:afterAutospacing="0"/>
              <w:rPr>
                <w:sz w:val="16"/>
                <w:szCs w:val="16"/>
              </w:rPr>
            </w:pPr>
            <w:r>
              <w:rPr>
                <w:sz w:val="16"/>
                <w:szCs w:val="16"/>
              </w:rPr>
              <w:t>40 (16.6)</w:t>
            </w:r>
          </w:p>
        </w:tc>
      </w:tr>
      <w:tr w:rsidR="00AD6965">
        <w:trPr>
          <w:tblCellSpacing w:w="15" w:type="dxa"/>
        </w:trPr>
        <w:tc>
          <w:tcPr>
            <w:tcW w:w="1788" w:type="dxa"/>
            <w:vAlign w:val="center"/>
            <w:hideMark/>
          </w:tcPr>
          <w:p w:rsidR="00AD6965" w:rsidRDefault="00E90CED" w:rsidP="0007176C">
            <w:pPr>
              <w:pStyle w:val="NormalWeb"/>
              <w:spacing w:before="0" w:beforeAutospacing="0" w:after="0" w:afterAutospacing="0"/>
              <w:rPr>
                <w:sz w:val="16"/>
                <w:szCs w:val="16"/>
              </w:rPr>
            </w:pPr>
            <w:r>
              <w:rPr>
                <w:sz w:val="16"/>
                <w:szCs w:val="16"/>
              </w:rPr>
              <w:t>HDL &lt; 40 mg/dl</w:t>
            </w:r>
          </w:p>
        </w:tc>
        <w:tc>
          <w:tcPr>
            <w:tcW w:w="1104" w:type="dxa"/>
            <w:vAlign w:val="center"/>
            <w:hideMark/>
          </w:tcPr>
          <w:p w:rsidR="00AD6965" w:rsidRDefault="00E90CED" w:rsidP="0007176C">
            <w:pPr>
              <w:pStyle w:val="NormalWeb"/>
              <w:spacing w:before="0" w:beforeAutospacing="0" w:after="0" w:afterAutospacing="0"/>
              <w:rPr>
                <w:sz w:val="16"/>
                <w:szCs w:val="16"/>
              </w:rPr>
            </w:pPr>
            <w:r>
              <w:rPr>
                <w:sz w:val="16"/>
                <w:szCs w:val="16"/>
              </w:rPr>
              <w:t>18 (23.8)</w:t>
            </w:r>
          </w:p>
        </w:tc>
        <w:tc>
          <w:tcPr>
            <w:tcW w:w="1164" w:type="dxa"/>
            <w:vAlign w:val="center"/>
            <w:hideMark/>
          </w:tcPr>
          <w:p w:rsidR="00AD6965" w:rsidRDefault="00E90CED" w:rsidP="0007176C">
            <w:pPr>
              <w:pStyle w:val="NormalWeb"/>
              <w:spacing w:before="0" w:beforeAutospacing="0" w:after="0" w:afterAutospacing="0"/>
              <w:rPr>
                <w:sz w:val="16"/>
                <w:szCs w:val="16"/>
              </w:rPr>
            </w:pPr>
            <w:r>
              <w:rPr>
                <w:sz w:val="16"/>
                <w:szCs w:val="16"/>
              </w:rPr>
              <w:t>57 (20.0)</w:t>
            </w:r>
          </w:p>
        </w:tc>
        <w:tc>
          <w:tcPr>
            <w:tcW w:w="1128" w:type="dxa"/>
            <w:vAlign w:val="center"/>
            <w:hideMark/>
          </w:tcPr>
          <w:p w:rsidR="00AD6965" w:rsidRDefault="00E90CED" w:rsidP="0007176C">
            <w:pPr>
              <w:pStyle w:val="NormalWeb"/>
              <w:spacing w:before="0" w:beforeAutospacing="0" w:after="0" w:afterAutospacing="0"/>
              <w:rPr>
                <w:sz w:val="16"/>
                <w:szCs w:val="16"/>
              </w:rPr>
            </w:pPr>
            <w:r>
              <w:rPr>
                <w:sz w:val="16"/>
                <w:szCs w:val="16"/>
              </w:rPr>
              <w:t>10 (12.5)</w:t>
            </w:r>
          </w:p>
        </w:tc>
        <w:tc>
          <w:tcPr>
            <w:tcW w:w="1140" w:type="dxa"/>
            <w:vAlign w:val="center"/>
            <w:hideMark/>
          </w:tcPr>
          <w:p w:rsidR="00AD6965" w:rsidRDefault="00E90CED" w:rsidP="0007176C">
            <w:pPr>
              <w:pStyle w:val="NormalWeb"/>
              <w:spacing w:before="0" w:beforeAutospacing="0" w:after="0" w:afterAutospacing="0"/>
              <w:rPr>
                <w:sz w:val="16"/>
                <w:szCs w:val="16"/>
              </w:rPr>
            </w:pPr>
            <w:r>
              <w:rPr>
                <w:sz w:val="16"/>
                <w:szCs w:val="16"/>
              </w:rPr>
              <w:t>36 (14.4)</w:t>
            </w:r>
          </w:p>
        </w:tc>
      </w:tr>
      <w:tr w:rsidR="00AD6965">
        <w:trPr>
          <w:tblCellSpacing w:w="15" w:type="dxa"/>
        </w:trPr>
        <w:tc>
          <w:tcPr>
            <w:tcW w:w="1788" w:type="dxa"/>
            <w:vAlign w:val="center"/>
            <w:hideMark/>
          </w:tcPr>
          <w:p w:rsidR="00AD6965" w:rsidRDefault="00E90CED" w:rsidP="0007176C">
            <w:pPr>
              <w:pStyle w:val="NormalWeb"/>
              <w:spacing w:before="0" w:beforeAutospacing="0" w:after="0" w:afterAutospacing="0"/>
              <w:rPr>
                <w:sz w:val="16"/>
                <w:szCs w:val="16"/>
              </w:rPr>
            </w:pPr>
            <w:r>
              <w:rPr>
                <w:sz w:val="16"/>
                <w:szCs w:val="16"/>
              </w:rPr>
              <w:t>Glicemia &gt;100 mg/dl</w:t>
            </w:r>
          </w:p>
        </w:tc>
        <w:tc>
          <w:tcPr>
            <w:tcW w:w="1104" w:type="dxa"/>
            <w:vAlign w:val="center"/>
            <w:hideMark/>
          </w:tcPr>
          <w:p w:rsidR="00AD6965" w:rsidRDefault="00E90CED" w:rsidP="0007176C">
            <w:pPr>
              <w:pStyle w:val="NormalWeb"/>
              <w:spacing w:before="0" w:beforeAutospacing="0" w:after="0" w:afterAutospacing="0"/>
              <w:rPr>
                <w:sz w:val="16"/>
                <w:szCs w:val="16"/>
              </w:rPr>
            </w:pPr>
            <w:r>
              <w:rPr>
                <w:sz w:val="16"/>
                <w:szCs w:val="16"/>
              </w:rPr>
              <w:t>5 (6.3)*</w:t>
            </w:r>
          </w:p>
        </w:tc>
        <w:tc>
          <w:tcPr>
            <w:tcW w:w="1164" w:type="dxa"/>
            <w:vAlign w:val="center"/>
            <w:hideMark/>
          </w:tcPr>
          <w:p w:rsidR="00AD6965" w:rsidRDefault="00E90CED" w:rsidP="0007176C">
            <w:pPr>
              <w:pStyle w:val="NormalWeb"/>
              <w:spacing w:before="0" w:beforeAutospacing="0" w:after="0" w:afterAutospacing="0"/>
              <w:rPr>
                <w:sz w:val="16"/>
                <w:szCs w:val="16"/>
              </w:rPr>
            </w:pPr>
            <w:r>
              <w:rPr>
                <w:sz w:val="16"/>
                <w:szCs w:val="16"/>
              </w:rPr>
              <w:t>4 (1.4)</w:t>
            </w:r>
          </w:p>
        </w:tc>
        <w:tc>
          <w:tcPr>
            <w:tcW w:w="1128" w:type="dxa"/>
            <w:vAlign w:val="center"/>
            <w:hideMark/>
          </w:tcPr>
          <w:p w:rsidR="00AD6965" w:rsidRDefault="00E90CED" w:rsidP="0007176C">
            <w:pPr>
              <w:pStyle w:val="NormalWeb"/>
              <w:spacing w:before="0" w:beforeAutospacing="0" w:after="0" w:afterAutospacing="0"/>
              <w:rPr>
                <w:sz w:val="16"/>
                <w:szCs w:val="16"/>
              </w:rPr>
            </w:pPr>
            <w:r>
              <w:rPr>
                <w:sz w:val="16"/>
                <w:szCs w:val="16"/>
              </w:rPr>
              <w:t>7 (9.1)*</w:t>
            </w:r>
          </w:p>
        </w:tc>
        <w:tc>
          <w:tcPr>
            <w:tcW w:w="1140" w:type="dxa"/>
            <w:vAlign w:val="center"/>
            <w:hideMark/>
          </w:tcPr>
          <w:p w:rsidR="00AD6965" w:rsidRDefault="00E90CED" w:rsidP="0007176C">
            <w:pPr>
              <w:pStyle w:val="NormalWeb"/>
              <w:spacing w:before="0" w:beforeAutospacing="0" w:after="0" w:afterAutospacing="0"/>
              <w:rPr>
                <w:sz w:val="16"/>
                <w:szCs w:val="16"/>
              </w:rPr>
            </w:pPr>
            <w:r>
              <w:rPr>
                <w:sz w:val="16"/>
                <w:szCs w:val="16"/>
              </w:rPr>
              <w:t>4 (1.7)</w:t>
            </w:r>
          </w:p>
        </w:tc>
      </w:tr>
      <w:tr w:rsidR="00AD6965">
        <w:trPr>
          <w:tblCellSpacing w:w="15" w:type="dxa"/>
        </w:trPr>
        <w:tc>
          <w:tcPr>
            <w:tcW w:w="1788" w:type="dxa"/>
            <w:vAlign w:val="center"/>
            <w:hideMark/>
          </w:tcPr>
          <w:p w:rsidR="00AD6965" w:rsidRDefault="00E90CED" w:rsidP="0007176C">
            <w:pPr>
              <w:pStyle w:val="NormalWeb"/>
              <w:spacing w:before="0" w:beforeAutospacing="0" w:after="0" w:afterAutospacing="0"/>
              <w:rPr>
                <w:sz w:val="16"/>
                <w:szCs w:val="16"/>
              </w:rPr>
            </w:pPr>
            <w:r>
              <w:rPr>
                <w:sz w:val="16"/>
                <w:szCs w:val="16"/>
              </w:rPr>
              <w:t>BMI &gt;2 SDS</w:t>
            </w:r>
          </w:p>
        </w:tc>
        <w:tc>
          <w:tcPr>
            <w:tcW w:w="1104" w:type="dxa"/>
            <w:vAlign w:val="center"/>
            <w:hideMark/>
          </w:tcPr>
          <w:p w:rsidR="00AD6965" w:rsidRDefault="00E90CED" w:rsidP="0007176C">
            <w:pPr>
              <w:pStyle w:val="NormalWeb"/>
              <w:spacing w:before="0" w:beforeAutospacing="0" w:after="0" w:afterAutospacing="0"/>
              <w:rPr>
                <w:sz w:val="16"/>
                <w:szCs w:val="16"/>
              </w:rPr>
            </w:pPr>
            <w:r>
              <w:rPr>
                <w:sz w:val="16"/>
                <w:szCs w:val="16"/>
              </w:rPr>
              <w:t>30 (20.4)*</w:t>
            </w:r>
          </w:p>
        </w:tc>
        <w:tc>
          <w:tcPr>
            <w:tcW w:w="1164" w:type="dxa"/>
            <w:vAlign w:val="center"/>
            <w:hideMark/>
          </w:tcPr>
          <w:p w:rsidR="00AD6965" w:rsidRDefault="00E90CED" w:rsidP="0007176C">
            <w:pPr>
              <w:pStyle w:val="NormalWeb"/>
              <w:spacing w:before="0" w:beforeAutospacing="0" w:after="0" w:afterAutospacing="0"/>
              <w:rPr>
                <w:sz w:val="16"/>
                <w:szCs w:val="16"/>
              </w:rPr>
            </w:pPr>
            <w:r>
              <w:rPr>
                <w:sz w:val="16"/>
                <w:szCs w:val="16"/>
              </w:rPr>
              <w:t>37 (12.2)</w:t>
            </w:r>
          </w:p>
        </w:tc>
        <w:tc>
          <w:tcPr>
            <w:tcW w:w="1128" w:type="dxa"/>
            <w:vAlign w:val="center"/>
            <w:hideMark/>
          </w:tcPr>
          <w:p w:rsidR="00AD6965" w:rsidRDefault="00E90CED" w:rsidP="0007176C">
            <w:pPr>
              <w:pStyle w:val="NormalWeb"/>
              <w:spacing w:before="0" w:beforeAutospacing="0" w:after="0" w:afterAutospacing="0"/>
              <w:rPr>
                <w:sz w:val="16"/>
                <w:szCs w:val="16"/>
              </w:rPr>
            </w:pPr>
            <w:r>
              <w:rPr>
                <w:sz w:val="16"/>
                <w:szCs w:val="16"/>
              </w:rPr>
              <w:t>18 (18.0)</w:t>
            </w:r>
          </w:p>
        </w:tc>
        <w:tc>
          <w:tcPr>
            <w:tcW w:w="1140" w:type="dxa"/>
            <w:vAlign w:val="center"/>
            <w:hideMark/>
          </w:tcPr>
          <w:p w:rsidR="00AD6965" w:rsidRDefault="00E90CED" w:rsidP="0007176C">
            <w:pPr>
              <w:pStyle w:val="NormalWeb"/>
              <w:spacing w:before="0" w:beforeAutospacing="0" w:after="0" w:afterAutospacing="0"/>
              <w:rPr>
                <w:sz w:val="16"/>
                <w:szCs w:val="16"/>
              </w:rPr>
            </w:pPr>
            <w:r>
              <w:rPr>
                <w:sz w:val="16"/>
                <w:szCs w:val="16"/>
              </w:rPr>
              <w:t>32 (12.5)</w:t>
            </w:r>
          </w:p>
        </w:tc>
      </w:tr>
    </w:tbl>
    <w:p w:rsidR="00AD6965" w:rsidRPr="0007176C" w:rsidRDefault="00E90CED" w:rsidP="0007176C">
      <w:pPr>
        <w:pStyle w:val="NormalWeb"/>
        <w:spacing w:before="0" w:beforeAutospacing="0" w:after="0" w:afterAutospacing="0"/>
        <w:jc w:val="both"/>
      </w:pPr>
      <w:r w:rsidRPr="0007176C">
        <w:rPr>
          <w:rStyle w:val="Textoennegrita"/>
        </w:rPr>
        <w:t>Conclusiones:</w:t>
      </w:r>
      <w:r w:rsidR="0007176C">
        <w:rPr>
          <w:rStyle w:val="Textoennegrita"/>
        </w:rPr>
        <w:t xml:space="preserve"> </w:t>
      </w:r>
      <w:r w:rsidRPr="0007176C">
        <w:t>La adrenarquia bioquímica parece favorecer una mayor incidencia de glicemias elevadas a medida que avanza la pubertad. Sin embargo el resto de los componentes del SM son similares. El seguimiento de esta cohorte permitirá documentar prospectivamente las interrelaciones entre AD, crecimiento temprano, adiposidad, esteroides sexuales y marcadores de riesgo metabólico.</w:t>
      </w:r>
    </w:p>
    <w:p w:rsidR="00E90CED" w:rsidRPr="0007176C" w:rsidRDefault="00E90CED" w:rsidP="0007176C">
      <w:pPr>
        <w:spacing w:after="0" w:line="240" w:lineRule="auto"/>
        <w:jc w:val="both"/>
        <w:rPr>
          <w:rFonts w:ascii="Times New Roman" w:eastAsia="Times New Roman" w:hAnsi="Times New Roman" w:cs="Times New Roman"/>
          <w:sz w:val="24"/>
          <w:szCs w:val="24"/>
        </w:rPr>
      </w:pPr>
      <w:r w:rsidRPr="0007176C">
        <w:rPr>
          <w:rFonts w:ascii="Times New Roman" w:eastAsia="Times New Roman" w:hAnsi="Times New Roman" w:cs="Times New Roman"/>
          <w:b/>
          <w:bCs/>
          <w:sz w:val="24"/>
          <w:szCs w:val="24"/>
        </w:rPr>
        <w:t xml:space="preserve">Financiamiento: </w:t>
      </w:r>
      <w:r w:rsidRPr="0007176C">
        <w:rPr>
          <w:rFonts w:ascii="Times New Roman" w:eastAsia="Times New Roman" w:hAnsi="Times New Roman" w:cs="Times New Roman"/>
          <w:sz w:val="24"/>
          <w:szCs w:val="24"/>
        </w:rPr>
        <w:t>Fondecyt 1140447 &amp; 1120326, WCRF</w:t>
      </w:r>
      <w:proofErr w:type="gramStart"/>
      <w:r w:rsidRPr="0007176C">
        <w:rPr>
          <w:rFonts w:ascii="Times New Roman" w:eastAsia="Times New Roman" w:hAnsi="Times New Roman" w:cs="Times New Roman"/>
          <w:sz w:val="24"/>
          <w:szCs w:val="24"/>
        </w:rPr>
        <w:t>:2010</w:t>
      </w:r>
      <w:proofErr w:type="gramEnd"/>
      <w:r w:rsidRPr="0007176C">
        <w:rPr>
          <w:rFonts w:ascii="Times New Roman" w:eastAsia="Times New Roman" w:hAnsi="Times New Roman" w:cs="Times New Roman"/>
          <w:sz w:val="24"/>
          <w:szCs w:val="24"/>
        </w:rPr>
        <w:t xml:space="preserve">/245 </w:t>
      </w:r>
    </w:p>
    <w:sectPr w:rsidR="00E90CED" w:rsidRPr="0007176C" w:rsidSect="00AD6965">
      <w:pgSz w:w="12240" w:h="15840"/>
      <w:pgMar w:top="600" w:right="600" w:bottom="60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ED"/>
    <w:rsid w:val="0007176C"/>
    <w:rsid w:val="001346A6"/>
    <w:rsid w:val="006649B3"/>
    <w:rsid w:val="006B27ED"/>
    <w:rsid w:val="007A7FD3"/>
    <w:rsid w:val="00AD6965"/>
    <w:rsid w:val="00DD53AD"/>
    <w:rsid w:val="00E90CE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Ximena</cp:lastModifiedBy>
  <cp:revision>2</cp:revision>
  <cp:lastPrinted>2017-08-25T15:20:00Z</cp:lastPrinted>
  <dcterms:created xsi:type="dcterms:W3CDTF">2017-10-11T16:09:00Z</dcterms:created>
  <dcterms:modified xsi:type="dcterms:W3CDTF">2017-10-11T16:09:00Z</dcterms:modified>
</cp:coreProperties>
</file>