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AF" w:rsidRPr="00D147AF" w:rsidRDefault="00751C21" w:rsidP="00D147AF">
      <w:pPr>
        <w:spacing w:after="0" w:line="240" w:lineRule="auto"/>
        <w:rPr>
          <w:rStyle w:val="Textoennegrita"/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</w:rPr>
        <w:t>TL 20</w:t>
      </w:r>
      <w:bookmarkStart w:id="0" w:name="_GoBack"/>
      <w:bookmarkEnd w:id="0"/>
      <w:r w:rsidR="00EF3D32" w:rsidRPr="00D147AF">
        <w:rPr>
          <w:rFonts w:eastAsia="Times New Roman"/>
          <w:b/>
        </w:rPr>
        <w:br/>
        <w:t xml:space="preserve">LA PRESCINDENCIA </w:t>
      </w:r>
      <w:r w:rsidR="00D147AF">
        <w:rPr>
          <w:rFonts w:eastAsia="Times New Roman"/>
          <w:b/>
        </w:rPr>
        <w:t>DE RADIOYODO EN PACIENTES CON CÁ</w:t>
      </w:r>
      <w:r w:rsidR="00EF3D32" w:rsidRPr="00D147AF">
        <w:rPr>
          <w:rFonts w:eastAsia="Times New Roman"/>
          <w:b/>
        </w:rPr>
        <w:t xml:space="preserve">NCER DE TIROIDES ADECUADAMENTE SELECCIONADOS, SE ASOCIA A BUEN PRONÓSTICO </w:t>
      </w:r>
      <w:r w:rsidR="00EF3D32" w:rsidRPr="00D147AF">
        <w:rPr>
          <w:rFonts w:eastAsia="Times New Roman"/>
          <w:b/>
        </w:rPr>
        <w:br/>
      </w:r>
      <w:r w:rsidR="00EF3D32" w:rsidRPr="00D147AF">
        <w:rPr>
          <w:rFonts w:ascii="Times New Roman" w:eastAsia="Times New Roman" w:hAnsi="Times New Roman" w:cs="Times New Roman"/>
          <w:sz w:val="24"/>
          <w:szCs w:val="24"/>
        </w:rPr>
        <w:t>María Inés Barra Quintana</w:t>
      </w:r>
      <w:r w:rsidR="00EF3D32" w:rsidRPr="00D147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D147AF">
        <w:rPr>
          <w:rFonts w:ascii="Times New Roman" w:eastAsia="Times New Roman" w:hAnsi="Times New Roman" w:cs="Times New Roman"/>
          <w:sz w:val="24"/>
          <w:szCs w:val="24"/>
        </w:rPr>
        <w:t>, Luis Zavala G</w:t>
      </w:r>
      <w:r w:rsidR="00EF3D32" w:rsidRPr="00D147AF">
        <w:rPr>
          <w:rFonts w:ascii="Times New Roman" w:eastAsia="Times New Roman" w:hAnsi="Times New Roman" w:cs="Times New Roman"/>
          <w:sz w:val="24"/>
          <w:szCs w:val="24"/>
        </w:rPr>
        <w:t>aete</w:t>
      </w:r>
      <w:r w:rsidR="00EF3D32" w:rsidRPr="00D147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D147AF">
        <w:rPr>
          <w:rFonts w:ascii="Times New Roman" w:eastAsia="Times New Roman" w:hAnsi="Times New Roman" w:cs="Times New Roman"/>
          <w:sz w:val="24"/>
          <w:szCs w:val="24"/>
        </w:rPr>
        <w:t>, Lorena Mosso Gó</w:t>
      </w:r>
      <w:r w:rsidR="00EF3D32" w:rsidRPr="00D147AF">
        <w:rPr>
          <w:rFonts w:ascii="Times New Roman" w:eastAsia="Times New Roman" w:hAnsi="Times New Roman" w:cs="Times New Roman"/>
          <w:sz w:val="24"/>
          <w:szCs w:val="24"/>
        </w:rPr>
        <w:t>mez</w:t>
      </w:r>
      <w:r w:rsidR="00EF3D32" w:rsidRPr="00D147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D147AF">
        <w:rPr>
          <w:rFonts w:ascii="Times New Roman" w:eastAsia="Times New Roman" w:hAnsi="Times New Roman" w:cs="Times New Roman"/>
          <w:sz w:val="24"/>
          <w:szCs w:val="24"/>
        </w:rPr>
        <w:t>, Antonieta Solar Gonzá</w:t>
      </w:r>
      <w:r w:rsidR="00EF3D32" w:rsidRPr="00D147AF">
        <w:rPr>
          <w:rFonts w:ascii="Times New Roman" w:eastAsia="Times New Roman" w:hAnsi="Times New Roman" w:cs="Times New Roman"/>
          <w:sz w:val="24"/>
          <w:szCs w:val="24"/>
        </w:rPr>
        <w:t>lez</w:t>
      </w:r>
      <w:r w:rsidR="00EF3D32" w:rsidRPr="00D147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EF3D32" w:rsidRPr="00D147AF">
        <w:rPr>
          <w:rFonts w:ascii="Times New Roman" w:eastAsia="Times New Roman" w:hAnsi="Times New Roman" w:cs="Times New Roman"/>
          <w:sz w:val="24"/>
          <w:szCs w:val="24"/>
        </w:rPr>
        <w:t>, Francisco Cruz Olivos</w:t>
      </w:r>
      <w:r w:rsidR="00EF3D32" w:rsidRPr="00D147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EF3D32" w:rsidRPr="00D147AF">
        <w:rPr>
          <w:rFonts w:ascii="Times New Roman" w:eastAsia="Times New Roman" w:hAnsi="Times New Roman" w:cs="Times New Roman"/>
          <w:sz w:val="24"/>
          <w:szCs w:val="24"/>
        </w:rPr>
        <w:t>, Tatiana Arias Arévalo</w:t>
      </w:r>
      <w:r w:rsidR="00EF3D32" w:rsidRPr="00D147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EF3D32" w:rsidRPr="00D147AF">
        <w:rPr>
          <w:rFonts w:ascii="Times New Roman" w:eastAsia="Times New Roman" w:hAnsi="Times New Roman" w:cs="Times New Roman"/>
          <w:sz w:val="24"/>
          <w:szCs w:val="24"/>
        </w:rPr>
        <w:t>, Nicolás Droppelmann Muñoz</w:t>
      </w:r>
      <w:r w:rsidR="00EF3D32" w:rsidRPr="00D147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EF3D32" w:rsidRPr="00D147AF">
        <w:rPr>
          <w:rFonts w:ascii="Times New Roman" w:eastAsia="Times New Roman" w:hAnsi="Times New Roman" w:cs="Times New Roman"/>
          <w:sz w:val="24"/>
          <w:szCs w:val="24"/>
        </w:rPr>
        <w:t>, H</w:t>
      </w:r>
      <w:r w:rsidR="00D147AF">
        <w:rPr>
          <w:rFonts w:ascii="Times New Roman" w:eastAsia="Times New Roman" w:hAnsi="Times New Roman" w:cs="Times New Roman"/>
          <w:sz w:val="24"/>
          <w:szCs w:val="24"/>
        </w:rPr>
        <w:t>ernán González Díaz</w:t>
      </w:r>
      <w:r w:rsidR="00EF3D32" w:rsidRPr="00D147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EF3D32" w:rsidRPr="00D147AF">
        <w:rPr>
          <w:rFonts w:ascii="Times New Roman" w:eastAsia="Times New Roman" w:hAnsi="Times New Roman" w:cs="Times New Roman"/>
          <w:sz w:val="24"/>
          <w:szCs w:val="24"/>
        </w:rPr>
        <w:t>, J</w:t>
      </w:r>
      <w:r w:rsidR="00D147AF">
        <w:rPr>
          <w:rFonts w:ascii="Times New Roman" w:eastAsia="Times New Roman" w:hAnsi="Times New Roman" w:cs="Times New Roman"/>
          <w:sz w:val="24"/>
          <w:szCs w:val="24"/>
        </w:rPr>
        <w:t>osé Miguel Domínguez Ruiz-Tagle</w:t>
      </w:r>
      <w:r w:rsidR="00EF3D32" w:rsidRPr="00D147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EF3D32" w:rsidRPr="00D147AF">
        <w:rPr>
          <w:rFonts w:ascii="Times New Roman" w:eastAsia="Times New Roman" w:hAnsi="Times New Roman" w:cs="Times New Roman"/>
          <w:sz w:val="24"/>
          <w:szCs w:val="24"/>
        </w:rPr>
        <w:br/>
      </w:r>
      <w:r w:rsidR="00EF3D32" w:rsidRPr="00D147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EF3D32" w:rsidRPr="00D147AF">
        <w:rPr>
          <w:rFonts w:ascii="Times New Roman" w:eastAsia="Times New Roman" w:hAnsi="Times New Roman" w:cs="Times New Roman"/>
          <w:sz w:val="24"/>
          <w:szCs w:val="24"/>
        </w:rPr>
        <w:t xml:space="preserve"> Departamento de Endocrinología, Pontificia Universidad Católica de Chile, </w:t>
      </w:r>
      <w:r w:rsidR="00EF3D32" w:rsidRPr="00D147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EF3D32" w:rsidRPr="00D147AF">
        <w:rPr>
          <w:rFonts w:ascii="Times New Roman" w:eastAsia="Times New Roman" w:hAnsi="Times New Roman" w:cs="Times New Roman"/>
          <w:sz w:val="24"/>
          <w:szCs w:val="24"/>
        </w:rPr>
        <w:t xml:space="preserve"> Departamento de Anatomía Patológica, Pontificia Universidad Católica de Chile, </w:t>
      </w:r>
      <w:r w:rsidR="00EF3D32" w:rsidRPr="00D147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EF3D32" w:rsidRPr="00D147AF">
        <w:rPr>
          <w:rFonts w:ascii="Times New Roman" w:eastAsia="Times New Roman" w:hAnsi="Times New Roman" w:cs="Times New Roman"/>
          <w:sz w:val="24"/>
          <w:szCs w:val="24"/>
        </w:rPr>
        <w:t xml:space="preserve"> Departamento de Radiología, Pontificia Universidad Católica de Chile, </w:t>
      </w:r>
      <w:r w:rsidR="00EF3D32" w:rsidRPr="00D147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EF3D32" w:rsidRPr="00D147AF">
        <w:rPr>
          <w:rFonts w:ascii="Times New Roman" w:eastAsia="Times New Roman" w:hAnsi="Times New Roman" w:cs="Times New Roman"/>
          <w:sz w:val="24"/>
          <w:szCs w:val="24"/>
        </w:rPr>
        <w:t xml:space="preserve"> Cirugía de Cabeza y Cuello, Pontificia Universidad Católica de Chile</w:t>
      </w:r>
      <w:r w:rsidR="00EF3D32" w:rsidRPr="00D147A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28E8" w:rsidRPr="00D147AF" w:rsidRDefault="00EF3D32" w:rsidP="00D14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7AF">
        <w:rPr>
          <w:rStyle w:val="Textoennegrita"/>
          <w:rFonts w:ascii="Times New Roman" w:eastAsia="Times New Roman" w:hAnsi="Times New Roman" w:cs="Times New Roman"/>
          <w:sz w:val="24"/>
          <w:szCs w:val="24"/>
        </w:rPr>
        <w:t xml:space="preserve">Introducción: </w:t>
      </w:r>
      <w:r w:rsidRPr="00D147AF">
        <w:rPr>
          <w:rFonts w:ascii="Times New Roman" w:eastAsia="Times New Roman" w:hAnsi="Times New Roman" w:cs="Times New Roman"/>
          <w:sz w:val="24"/>
          <w:szCs w:val="24"/>
        </w:rPr>
        <w:t>El tratamiento del cáncer diferenciado de tiroides (CDT) incluye cirugía, uso selectivo de radioyodo (RAI) y suplementación con levotiroxina. La indicación de RAI depende del riesgo de recurrencia inicial del paciente</w:t>
      </w:r>
      <w:r w:rsidRPr="00D147AF">
        <w:rPr>
          <w:rStyle w:val="Textoennegrita"/>
          <w:rFonts w:ascii="Times New Roman" w:eastAsia="Times New Roman" w:hAnsi="Times New Roman" w:cs="Times New Roman"/>
          <w:sz w:val="24"/>
          <w:szCs w:val="24"/>
        </w:rPr>
        <w:t>.</w:t>
      </w:r>
      <w:r w:rsidRPr="00D147AF">
        <w:rPr>
          <w:rFonts w:ascii="Times New Roman" w:eastAsia="Times New Roman" w:hAnsi="Times New Roman" w:cs="Times New Roman"/>
          <w:sz w:val="24"/>
          <w:szCs w:val="24"/>
        </w:rPr>
        <w:t xml:space="preserve"> El RAI se asocia a efectos adversos a corto y largo plazo. El objetivo de este estudio fue caracterizar y evaluar la respuesta a tratamiento de pacientes con CDT tratados sin RAI y estudiar el impacto de los anticuerpos anti </w:t>
      </w:r>
      <w:proofErr w:type="spellStart"/>
      <w:r w:rsidRPr="00D147AF">
        <w:rPr>
          <w:rFonts w:ascii="Times New Roman" w:eastAsia="Times New Roman" w:hAnsi="Times New Roman" w:cs="Times New Roman"/>
          <w:sz w:val="24"/>
          <w:szCs w:val="24"/>
        </w:rPr>
        <w:t>tiroglobulina</w:t>
      </w:r>
      <w:proofErr w:type="spellEnd"/>
      <w:r w:rsidRPr="00D147A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147AF">
        <w:rPr>
          <w:rFonts w:ascii="Times New Roman" w:eastAsia="Times New Roman" w:hAnsi="Times New Roman" w:cs="Times New Roman"/>
          <w:sz w:val="24"/>
          <w:szCs w:val="24"/>
        </w:rPr>
        <w:t>AcTg</w:t>
      </w:r>
      <w:proofErr w:type="spellEnd"/>
      <w:r w:rsidRPr="00D147AF">
        <w:rPr>
          <w:rFonts w:ascii="Times New Roman" w:eastAsia="Times New Roman" w:hAnsi="Times New Roman" w:cs="Times New Roman"/>
          <w:sz w:val="24"/>
          <w:szCs w:val="24"/>
        </w:rPr>
        <w:t>) en la respuesta a tratamiento.</w:t>
      </w:r>
    </w:p>
    <w:p w:rsidR="008228E8" w:rsidRPr="00D147AF" w:rsidRDefault="00EF3D32" w:rsidP="00D14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7AF">
        <w:rPr>
          <w:rStyle w:val="Textoennegrita"/>
          <w:rFonts w:ascii="Times New Roman" w:eastAsia="Times New Roman" w:hAnsi="Times New Roman" w:cs="Times New Roman"/>
          <w:sz w:val="24"/>
          <w:szCs w:val="24"/>
        </w:rPr>
        <w:t xml:space="preserve">Diseño experimental: </w:t>
      </w:r>
      <w:r w:rsidRPr="00D147AF">
        <w:rPr>
          <w:rFonts w:ascii="Times New Roman" w:eastAsia="Times New Roman" w:hAnsi="Times New Roman" w:cs="Times New Roman"/>
          <w:sz w:val="24"/>
          <w:szCs w:val="24"/>
        </w:rPr>
        <w:t>Estudio prospectivo, descriptivo.</w:t>
      </w:r>
    </w:p>
    <w:p w:rsidR="008228E8" w:rsidRPr="00D147AF" w:rsidRDefault="00EF3D32" w:rsidP="00D14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7AF">
        <w:rPr>
          <w:rStyle w:val="Textoennegrita"/>
          <w:rFonts w:ascii="Times New Roman" w:eastAsia="Times New Roman" w:hAnsi="Times New Roman" w:cs="Times New Roman"/>
          <w:sz w:val="24"/>
          <w:szCs w:val="24"/>
        </w:rPr>
        <w:t xml:space="preserve">Sujetos y Métodos: </w:t>
      </w:r>
      <w:r w:rsidRPr="00D147AF">
        <w:rPr>
          <w:rFonts w:ascii="Times New Roman" w:eastAsia="Times New Roman" w:hAnsi="Times New Roman" w:cs="Times New Roman"/>
          <w:sz w:val="24"/>
          <w:szCs w:val="24"/>
        </w:rPr>
        <w:t xml:space="preserve">Se incluyeron consecutivamente todos los pacientes de 18 o más años de edad, con diagnóstico de CDT, tratados con tiroidectomía total o parcial, sin RAI, controlados en el policlínico de cáncer de tiroides de nuestro centro entre Diciembre de 2012 y Julio de 2017, seguidos por un mínimo de 6 meses, y que tuvieran al menos una medición </w:t>
      </w:r>
      <w:proofErr w:type="spellStart"/>
      <w:r w:rsidRPr="00D147AF">
        <w:rPr>
          <w:rFonts w:ascii="Times New Roman" w:eastAsia="Times New Roman" w:hAnsi="Times New Roman" w:cs="Times New Roman"/>
          <w:sz w:val="24"/>
          <w:szCs w:val="24"/>
        </w:rPr>
        <w:t>tiroglobulina</w:t>
      </w:r>
      <w:proofErr w:type="spellEnd"/>
      <w:r w:rsidRPr="00D147AF">
        <w:rPr>
          <w:rFonts w:ascii="Times New Roman" w:eastAsia="Times New Roman" w:hAnsi="Times New Roman" w:cs="Times New Roman"/>
          <w:sz w:val="24"/>
          <w:szCs w:val="24"/>
        </w:rPr>
        <w:t xml:space="preserve"> sérica (</w:t>
      </w:r>
      <w:proofErr w:type="spellStart"/>
      <w:r w:rsidRPr="00D147AF">
        <w:rPr>
          <w:rFonts w:ascii="Times New Roman" w:eastAsia="Times New Roman" w:hAnsi="Times New Roman" w:cs="Times New Roman"/>
          <w:sz w:val="24"/>
          <w:szCs w:val="24"/>
        </w:rPr>
        <w:t>Tg</w:t>
      </w:r>
      <w:proofErr w:type="spellEnd"/>
      <w:r w:rsidRPr="00D147A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D147AF">
        <w:rPr>
          <w:rFonts w:ascii="Times New Roman" w:eastAsia="Times New Roman" w:hAnsi="Times New Roman" w:cs="Times New Roman"/>
          <w:sz w:val="24"/>
          <w:szCs w:val="24"/>
        </w:rPr>
        <w:t>AcTg</w:t>
      </w:r>
      <w:proofErr w:type="spellEnd"/>
      <w:r w:rsidRPr="00D147AF">
        <w:rPr>
          <w:rFonts w:ascii="Times New Roman" w:eastAsia="Times New Roman" w:hAnsi="Times New Roman" w:cs="Times New Roman"/>
          <w:sz w:val="24"/>
          <w:szCs w:val="24"/>
        </w:rPr>
        <w:t xml:space="preserve"> y una ecografía cervical (ECO). La respuesta a tratamiento se clasificó como excelente (ECO(-), Tg≤0,2ng/</w:t>
      </w:r>
      <w:proofErr w:type="spellStart"/>
      <w:r w:rsidRPr="00D147AF">
        <w:rPr>
          <w:rFonts w:ascii="Times New Roman" w:eastAsia="Times New Roman" w:hAnsi="Times New Roman" w:cs="Times New Roman"/>
          <w:sz w:val="24"/>
          <w:szCs w:val="24"/>
        </w:rPr>
        <w:t>dL</w:t>
      </w:r>
      <w:proofErr w:type="spellEnd"/>
      <w:r w:rsidRPr="00D147A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D147AF">
        <w:rPr>
          <w:rFonts w:ascii="Times New Roman" w:eastAsia="Times New Roman" w:hAnsi="Times New Roman" w:cs="Times New Roman"/>
          <w:sz w:val="24"/>
          <w:szCs w:val="24"/>
        </w:rPr>
        <w:t>AcTg</w:t>
      </w:r>
      <w:proofErr w:type="spellEnd"/>
      <w:r w:rsidRPr="00D147AF">
        <w:rPr>
          <w:rFonts w:ascii="Times New Roman" w:eastAsia="Times New Roman" w:hAnsi="Times New Roman" w:cs="Times New Roman"/>
          <w:sz w:val="24"/>
          <w:szCs w:val="24"/>
        </w:rPr>
        <w:t xml:space="preserve">(-)), incompleta bioquímica (ECO(-), </w:t>
      </w:r>
      <w:proofErr w:type="spellStart"/>
      <w:r w:rsidRPr="00D147AF">
        <w:rPr>
          <w:rFonts w:ascii="Times New Roman" w:eastAsia="Times New Roman" w:hAnsi="Times New Roman" w:cs="Times New Roman"/>
          <w:sz w:val="24"/>
          <w:szCs w:val="24"/>
        </w:rPr>
        <w:t>Tg</w:t>
      </w:r>
      <w:proofErr w:type="spellEnd"/>
      <w:r w:rsidRPr="00D147AF">
        <w:rPr>
          <w:rFonts w:ascii="Times New Roman" w:eastAsia="Times New Roman" w:hAnsi="Times New Roman" w:cs="Times New Roman"/>
          <w:sz w:val="24"/>
          <w:szCs w:val="24"/>
        </w:rPr>
        <w:t>&gt;5ng/</w:t>
      </w:r>
      <w:proofErr w:type="spellStart"/>
      <w:r w:rsidRPr="00D147AF">
        <w:rPr>
          <w:rFonts w:ascii="Times New Roman" w:eastAsia="Times New Roman" w:hAnsi="Times New Roman" w:cs="Times New Roman"/>
          <w:sz w:val="24"/>
          <w:szCs w:val="24"/>
        </w:rPr>
        <w:t>dL</w:t>
      </w:r>
      <w:proofErr w:type="spellEnd"/>
      <w:r w:rsidRPr="00D147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47AF">
        <w:rPr>
          <w:rFonts w:ascii="Times New Roman" w:eastAsia="Times New Roman" w:hAnsi="Times New Roman" w:cs="Times New Roman"/>
          <w:sz w:val="24"/>
          <w:szCs w:val="24"/>
        </w:rPr>
        <w:t>AcTg</w:t>
      </w:r>
      <w:proofErr w:type="spellEnd"/>
      <w:r w:rsidRPr="00D147AF">
        <w:rPr>
          <w:rFonts w:ascii="Times New Roman" w:eastAsia="Times New Roman" w:hAnsi="Times New Roman" w:cs="Times New Roman"/>
          <w:sz w:val="24"/>
          <w:szCs w:val="24"/>
        </w:rPr>
        <w:t xml:space="preserve">(-)), incompleta estructural (ECO u otra imagen(+), con o sin estudio citológico, independiente de </w:t>
      </w:r>
      <w:proofErr w:type="spellStart"/>
      <w:r w:rsidRPr="00D147AF">
        <w:rPr>
          <w:rFonts w:ascii="Times New Roman" w:eastAsia="Times New Roman" w:hAnsi="Times New Roman" w:cs="Times New Roman"/>
          <w:sz w:val="24"/>
          <w:szCs w:val="24"/>
        </w:rPr>
        <w:t>Tg</w:t>
      </w:r>
      <w:proofErr w:type="spellEnd"/>
      <w:r w:rsidRPr="00D147AF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D147AF">
        <w:rPr>
          <w:rFonts w:ascii="Times New Roman" w:eastAsia="Times New Roman" w:hAnsi="Times New Roman" w:cs="Times New Roman"/>
          <w:sz w:val="24"/>
          <w:szCs w:val="24"/>
        </w:rPr>
        <w:t>AcTg</w:t>
      </w:r>
      <w:proofErr w:type="spellEnd"/>
      <w:r w:rsidRPr="00D147AF">
        <w:rPr>
          <w:rFonts w:ascii="Times New Roman" w:eastAsia="Times New Roman" w:hAnsi="Times New Roman" w:cs="Times New Roman"/>
          <w:sz w:val="24"/>
          <w:szCs w:val="24"/>
        </w:rPr>
        <w:t xml:space="preserve">) e indeterminada (ECO(-), </w:t>
      </w:r>
      <w:proofErr w:type="spellStart"/>
      <w:r w:rsidRPr="00D147AF">
        <w:rPr>
          <w:rFonts w:ascii="Times New Roman" w:eastAsia="Times New Roman" w:hAnsi="Times New Roman" w:cs="Times New Roman"/>
          <w:sz w:val="24"/>
          <w:szCs w:val="24"/>
        </w:rPr>
        <w:t>Tg</w:t>
      </w:r>
      <w:proofErr w:type="spellEnd"/>
      <w:r w:rsidRPr="00D147AF">
        <w:rPr>
          <w:rFonts w:ascii="Times New Roman" w:eastAsia="Times New Roman" w:hAnsi="Times New Roman" w:cs="Times New Roman"/>
          <w:sz w:val="24"/>
          <w:szCs w:val="24"/>
        </w:rPr>
        <w:t>&gt;0,2 - ≤5,0ng/</w:t>
      </w:r>
      <w:proofErr w:type="spellStart"/>
      <w:r w:rsidRPr="00D147AF">
        <w:rPr>
          <w:rFonts w:ascii="Times New Roman" w:eastAsia="Times New Roman" w:hAnsi="Times New Roman" w:cs="Times New Roman"/>
          <w:sz w:val="24"/>
          <w:szCs w:val="24"/>
        </w:rPr>
        <w:t>dL</w:t>
      </w:r>
      <w:proofErr w:type="spellEnd"/>
      <w:r w:rsidRPr="00D147AF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D147AF">
        <w:rPr>
          <w:rFonts w:ascii="Times New Roman" w:eastAsia="Times New Roman" w:hAnsi="Times New Roman" w:cs="Times New Roman"/>
          <w:sz w:val="24"/>
          <w:szCs w:val="24"/>
        </w:rPr>
        <w:t>AcTg</w:t>
      </w:r>
      <w:proofErr w:type="spellEnd"/>
      <w:r w:rsidRPr="00D147AF">
        <w:rPr>
          <w:rFonts w:ascii="Times New Roman" w:eastAsia="Times New Roman" w:hAnsi="Times New Roman" w:cs="Times New Roman"/>
          <w:sz w:val="24"/>
          <w:szCs w:val="24"/>
        </w:rPr>
        <w:t xml:space="preserve">(-); o ECO(-) y </w:t>
      </w:r>
      <w:proofErr w:type="spellStart"/>
      <w:r w:rsidRPr="00D147AF">
        <w:rPr>
          <w:rFonts w:ascii="Times New Roman" w:eastAsia="Times New Roman" w:hAnsi="Times New Roman" w:cs="Times New Roman"/>
          <w:sz w:val="24"/>
          <w:szCs w:val="24"/>
        </w:rPr>
        <w:t>AcTg</w:t>
      </w:r>
      <w:proofErr w:type="spellEnd"/>
      <w:r w:rsidRPr="00D147AF">
        <w:rPr>
          <w:rFonts w:ascii="Times New Roman" w:eastAsia="Times New Roman" w:hAnsi="Times New Roman" w:cs="Times New Roman"/>
          <w:sz w:val="24"/>
          <w:szCs w:val="24"/>
        </w:rPr>
        <w:t>(+)).</w:t>
      </w:r>
    </w:p>
    <w:p w:rsidR="008228E8" w:rsidRPr="00D147AF" w:rsidRDefault="00EF3D32" w:rsidP="00D14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7AF">
        <w:rPr>
          <w:rStyle w:val="Textoennegrita"/>
          <w:rFonts w:ascii="Times New Roman" w:eastAsia="Times New Roman" w:hAnsi="Times New Roman" w:cs="Times New Roman"/>
          <w:sz w:val="24"/>
          <w:szCs w:val="24"/>
        </w:rPr>
        <w:t>Resultados</w:t>
      </w:r>
      <w:r w:rsidRPr="00D147AF">
        <w:rPr>
          <w:rFonts w:ascii="Times New Roman" w:eastAsia="Times New Roman" w:hAnsi="Times New Roman" w:cs="Times New Roman"/>
          <w:sz w:val="24"/>
          <w:szCs w:val="24"/>
        </w:rPr>
        <w:t xml:space="preserve">: Se incluyeron 133 pacientes, edad 42±13,5 años, 113 (84,9%) mujeres, seguidos por una mediana de 1,7 años (0,51-10), 39 (29,3%) con </w:t>
      </w:r>
      <w:proofErr w:type="spellStart"/>
      <w:proofErr w:type="gramStart"/>
      <w:r w:rsidRPr="00D147AF">
        <w:rPr>
          <w:rFonts w:ascii="Times New Roman" w:eastAsia="Times New Roman" w:hAnsi="Times New Roman" w:cs="Times New Roman"/>
          <w:sz w:val="24"/>
          <w:szCs w:val="24"/>
        </w:rPr>
        <w:t>AcTg</w:t>
      </w:r>
      <w:proofErr w:type="spellEnd"/>
      <w:r w:rsidRPr="00D147A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D147AF">
        <w:rPr>
          <w:rFonts w:ascii="Times New Roman" w:eastAsia="Times New Roman" w:hAnsi="Times New Roman" w:cs="Times New Roman"/>
          <w:sz w:val="24"/>
          <w:szCs w:val="24"/>
        </w:rPr>
        <w:t xml:space="preserve">+) al momento del diagnóstico, 132 (99,2%) tratados con tiroidectomía total y 1 (0,8%) con tiroidectomía parcial. Según ATA 2015, 112 (84,2%) y 21 (15,8%) eran de riesgo bajo e intermedio, respectivamente. Según MINSAL 2013, 78 (58,6%), 54 (40,6%) y 1 (0,8%) eran de riesgo de recurrencia muy bajo, bajo e intermedio, respectivamente. No hubo muertes atribuibles al CDT. Al final del seguimiento, 82 (61,7%), 49 (36,8%) y 2 (1,5%) de los pacientes tuvo respuesta excelente, indeterminada e incompleta estructural, respectivamente. Los 2 pacientes con respuesta incompleta estructural fueron </w:t>
      </w:r>
      <w:proofErr w:type="spellStart"/>
      <w:r w:rsidRPr="00D147AF">
        <w:rPr>
          <w:rFonts w:ascii="Times New Roman" w:eastAsia="Times New Roman" w:hAnsi="Times New Roman" w:cs="Times New Roman"/>
          <w:sz w:val="24"/>
          <w:szCs w:val="24"/>
        </w:rPr>
        <w:t>reoperados</w:t>
      </w:r>
      <w:proofErr w:type="spellEnd"/>
      <w:r w:rsidRPr="00D147AF">
        <w:rPr>
          <w:rFonts w:ascii="Times New Roman" w:eastAsia="Times New Roman" w:hAnsi="Times New Roman" w:cs="Times New Roman"/>
          <w:sz w:val="24"/>
          <w:szCs w:val="24"/>
        </w:rPr>
        <w:t xml:space="preserve"> y recibieron RAI: una logró respuesta excelente y la otra tiene </w:t>
      </w:r>
      <w:proofErr w:type="gramStart"/>
      <w:r w:rsidRPr="00D147AF">
        <w:rPr>
          <w:rFonts w:ascii="Times New Roman" w:eastAsia="Times New Roman" w:hAnsi="Times New Roman" w:cs="Times New Roman"/>
          <w:sz w:val="24"/>
          <w:szCs w:val="24"/>
        </w:rPr>
        <w:t>ECO(</w:t>
      </w:r>
      <w:proofErr w:type="gramEnd"/>
      <w:r w:rsidRPr="00D147AF">
        <w:rPr>
          <w:rFonts w:ascii="Times New Roman" w:eastAsia="Times New Roman" w:hAnsi="Times New Roman" w:cs="Times New Roman"/>
          <w:sz w:val="24"/>
          <w:szCs w:val="24"/>
        </w:rPr>
        <w:t xml:space="preserve">-) y </w:t>
      </w:r>
      <w:proofErr w:type="spellStart"/>
      <w:r w:rsidRPr="00D147AF">
        <w:rPr>
          <w:rFonts w:ascii="Times New Roman" w:eastAsia="Times New Roman" w:hAnsi="Times New Roman" w:cs="Times New Roman"/>
          <w:sz w:val="24"/>
          <w:szCs w:val="24"/>
        </w:rPr>
        <w:t>AcTg</w:t>
      </w:r>
      <w:proofErr w:type="spellEnd"/>
      <w:r w:rsidRPr="00D147AF">
        <w:rPr>
          <w:rFonts w:ascii="Times New Roman" w:eastAsia="Times New Roman" w:hAnsi="Times New Roman" w:cs="Times New Roman"/>
          <w:sz w:val="24"/>
          <w:szCs w:val="24"/>
        </w:rPr>
        <w:t xml:space="preserve"> en disminución al final del seguimiento. La presencia de </w:t>
      </w:r>
      <w:proofErr w:type="spellStart"/>
      <w:r w:rsidRPr="00D147AF">
        <w:rPr>
          <w:rFonts w:ascii="Times New Roman" w:eastAsia="Times New Roman" w:hAnsi="Times New Roman" w:cs="Times New Roman"/>
          <w:sz w:val="24"/>
          <w:szCs w:val="24"/>
        </w:rPr>
        <w:t>AcTg</w:t>
      </w:r>
      <w:proofErr w:type="spellEnd"/>
      <w:r w:rsidRPr="00D147AF">
        <w:rPr>
          <w:rFonts w:ascii="Times New Roman" w:eastAsia="Times New Roman" w:hAnsi="Times New Roman" w:cs="Times New Roman"/>
          <w:sz w:val="24"/>
          <w:szCs w:val="24"/>
        </w:rPr>
        <w:t xml:space="preserve"> al diagnóstico no se asoció a peor pronóstico. De los 39 pacientes con </w:t>
      </w:r>
      <w:proofErr w:type="spellStart"/>
      <w:proofErr w:type="gramStart"/>
      <w:r w:rsidRPr="00D147AF">
        <w:rPr>
          <w:rFonts w:ascii="Times New Roman" w:eastAsia="Times New Roman" w:hAnsi="Times New Roman" w:cs="Times New Roman"/>
          <w:sz w:val="24"/>
          <w:szCs w:val="24"/>
        </w:rPr>
        <w:t>AcTg</w:t>
      </w:r>
      <w:proofErr w:type="spellEnd"/>
      <w:r w:rsidRPr="00D147A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D147AF">
        <w:rPr>
          <w:rFonts w:ascii="Times New Roman" w:eastAsia="Times New Roman" w:hAnsi="Times New Roman" w:cs="Times New Roman"/>
          <w:sz w:val="24"/>
          <w:szCs w:val="24"/>
        </w:rPr>
        <w:t xml:space="preserve">+) al diagnóstico, en 10 (25,6%) se </w:t>
      </w:r>
      <w:proofErr w:type="spellStart"/>
      <w:r w:rsidRPr="00D147AF">
        <w:rPr>
          <w:rFonts w:ascii="Times New Roman" w:eastAsia="Times New Roman" w:hAnsi="Times New Roman" w:cs="Times New Roman"/>
          <w:sz w:val="24"/>
          <w:szCs w:val="24"/>
        </w:rPr>
        <w:t>negativizaron</w:t>
      </w:r>
      <w:proofErr w:type="spellEnd"/>
      <w:r w:rsidRPr="00D147AF">
        <w:rPr>
          <w:rFonts w:ascii="Times New Roman" w:eastAsia="Times New Roman" w:hAnsi="Times New Roman" w:cs="Times New Roman"/>
          <w:sz w:val="24"/>
          <w:szCs w:val="24"/>
        </w:rPr>
        <w:t xml:space="preserve">, en 15 (38,5%) disminuyeron ≥ 50%, en 6 (15,4%) </w:t>
      </w:r>
      <w:proofErr w:type="spellStart"/>
      <w:r w:rsidRPr="00D147AF">
        <w:rPr>
          <w:rFonts w:ascii="Times New Roman" w:eastAsia="Times New Roman" w:hAnsi="Times New Roman" w:cs="Times New Roman"/>
          <w:sz w:val="24"/>
          <w:szCs w:val="24"/>
        </w:rPr>
        <w:t>diminuyeron</w:t>
      </w:r>
      <w:proofErr w:type="spellEnd"/>
      <w:r w:rsidRPr="00D147AF">
        <w:rPr>
          <w:rFonts w:ascii="Times New Roman" w:eastAsia="Times New Roman" w:hAnsi="Times New Roman" w:cs="Times New Roman"/>
          <w:sz w:val="24"/>
          <w:szCs w:val="24"/>
        </w:rPr>
        <w:t xml:space="preserve">&lt; 50% y en 7 (17,9%) no se modificaron o aumentaron. Un (2,6%) paciente con </w:t>
      </w:r>
      <w:proofErr w:type="spellStart"/>
      <w:proofErr w:type="gramStart"/>
      <w:r w:rsidRPr="00D147AF">
        <w:rPr>
          <w:rFonts w:ascii="Times New Roman" w:eastAsia="Times New Roman" w:hAnsi="Times New Roman" w:cs="Times New Roman"/>
          <w:sz w:val="24"/>
          <w:szCs w:val="24"/>
        </w:rPr>
        <w:t>AcTg</w:t>
      </w:r>
      <w:proofErr w:type="spellEnd"/>
      <w:r w:rsidRPr="00D147A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D147AF">
        <w:rPr>
          <w:rFonts w:ascii="Times New Roman" w:eastAsia="Times New Roman" w:hAnsi="Times New Roman" w:cs="Times New Roman"/>
          <w:sz w:val="24"/>
          <w:szCs w:val="24"/>
        </w:rPr>
        <w:t>+) al diagnóstico tuvo enfermedad estructural.</w:t>
      </w:r>
    </w:p>
    <w:p w:rsidR="00EF3D32" w:rsidRPr="00D147AF" w:rsidRDefault="00EF3D32" w:rsidP="00D14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7AF">
        <w:rPr>
          <w:rStyle w:val="Textoennegrita"/>
          <w:rFonts w:ascii="Times New Roman" w:eastAsia="Times New Roman" w:hAnsi="Times New Roman" w:cs="Times New Roman"/>
          <w:sz w:val="24"/>
          <w:szCs w:val="24"/>
        </w:rPr>
        <w:t xml:space="preserve">Conclusiones: </w:t>
      </w:r>
      <w:r w:rsidRPr="00D147AF">
        <w:rPr>
          <w:rFonts w:ascii="Times New Roman" w:eastAsia="Times New Roman" w:hAnsi="Times New Roman" w:cs="Times New Roman"/>
          <w:sz w:val="24"/>
          <w:szCs w:val="24"/>
        </w:rPr>
        <w:t xml:space="preserve">En pacientes con CDT adecuadamente seleccionados, el tratamiento puede prescindir de RAI sin empeorar el pronóstico. Respecto a ATA 2015, MINSAL 2013 aumenta el porcentaje de pacientes de riesgo bajo, favoreciendo la prescindencia de RAI sin afectar el pronóstico. La presencia de </w:t>
      </w:r>
      <w:proofErr w:type="spellStart"/>
      <w:r w:rsidRPr="00D147AF">
        <w:rPr>
          <w:rFonts w:ascii="Times New Roman" w:eastAsia="Times New Roman" w:hAnsi="Times New Roman" w:cs="Times New Roman"/>
          <w:sz w:val="24"/>
          <w:szCs w:val="24"/>
        </w:rPr>
        <w:t>AcTg</w:t>
      </w:r>
      <w:proofErr w:type="spellEnd"/>
      <w:r w:rsidRPr="00D147AF">
        <w:rPr>
          <w:rFonts w:ascii="Times New Roman" w:eastAsia="Times New Roman" w:hAnsi="Times New Roman" w:cs="Times New Roman"/>
          <w:sz w:val="24"/>
          <w:szCs w:val="24"/>
        </w:rPr>
        <w:t xml:space="preserve"> al diagnóstico no empeora el pronóstico de los pacientes con CDT, por lo que no debiera ser una indicación para administrar RAI.</w:t>
      </w:r>
    </w:p>
    <w:p w:rsidR="00D147AF" w:rsidRPr="00D147AF" w:rsidRDefault="00D147AF" w:rsidP="00D14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147AF" w:rsidRPr="00D147AF" w:rsidSect="008228E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C4F22"/>
    <w:multiLevelType w:val="multilevel"/>
    <w:tmpl w:val="015C6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72"/>
    <w:rsid w:val="000A0DDD"/>
    <w:rsid w:val="00751C21"/>
    <w:rsid w:val="008228E8"/>
    <w:rsid w:val="00A93872"/>
    <w:rsid w:val="00D147AF"/>
    <w:rsid w:val="00EF3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Ximena</cp:lastModifiedBy>
  <cp:revision>2</cp:revision>
  <cp:lastPrinted>2017-08-24T22:48:00Z</cp:lastPrinted>
  <dcterms:created xsi:type="dcterms:W3CDTF">2017-10-11T16:20:00Z</dcterms:created>
  <dcterms:modified xsi:type="dcterms:W3CDTF">2017-10-11T16:20:00Z</dcterms:modified>
</cp:coreProperties>
</file>