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49" w:rsidRDefault="00360EAE" w:rsidP="001F5B49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TL 22</w:t>
      </w:r>
      <w:bookmarkStart w:id="0" w:name="_GoBack"/>
      <w:bookmarkEnd w:id="0"/>
      <w:r w:rsidR="003F659A">
        <w:rPr>
          <w:rFonts w:eastAsia="Times New Roman"/>
          <w:b/>
          <w:bCs/>
        </w:rPr>
        <w:br/>
        <w:t>ESTUDIO MOLECULAR DE GENES DE LA VÍA RAS/MAPK EN PACIENTES CON CRIPTORQUIDIA AISLADA</w:t>
      </w:r>
    </w:p>
    <w:p w:rsidR="00AA2765" w:rsidRPr="00801865" w:rsidRDefault="003F659A" w:rsidP="001F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865">
        <w:rPr>
          <w:rFonts w:ascii="Times New Roman" w:eastAsia="Times New Roman" w:hAnsi="Times New Roman" w:cs="Times New Roman"/>
          <w:sz w:val="24"/>
          <w:szCs w:val="24"/>
        </w:rPr>
        <w:t>Fernando Rodríguez Convertino</w:t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>, Carla Vallejos Concha</w:t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>, Nancy Unanue Morales</w:t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>, María Isabel Hernández Cárdenas</w:t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>, Alex Muñoz Gallardo</w:t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>, Soledad Célis Lagos</w:t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>, Karen Heath</w:t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>, María Teresa López Sáez</w:t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F5B49" w:rsidRPr="00801865">
        <w:rPr>
          <w:rFonts w:ascii="Times New Roman" w:eastAsia="Times New Roman" w:hAnsi="Times New Roman" w:cs="Times New Roman"/>
          <w:sz w:val="24"/>
          <w:szCs w:val="24"/>
        </w:rPr>
        <w:t>, Fernando Cassorla Godul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>off</w:t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br/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 xml:space="preserve"> Instituto de Investigaciones Materno Infantil - Universidad de Chile, </w:t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 xml:space="preserve"> Departamento de Urología Pediátrica - Hospital Clínico San Borja Arriarán, </w:t>
      </w:r>
      <w:r w:rsidRPr="008018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 xml:space="preserve"> Instituto de Genética Médica y Molecular – Hospital Universitario La Paz - Madrid - España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2765" w:rsidRPr="00801865" w:rsidRDefault="003F659A" w:rsidP="001F5B49">
      <w:pPr>
        <w:pStyle w:val="NormalWeb"/>
        <w:spacing w:before="0" w:beforeAutospacing="0" w:after="0" w:afterAutospacing="0"/>
        <w:jc w:val="both"/>
      </w:pPr>
      <w:r w:rsidRPr="00801865">
        <w:rPr>
          <w:rStyle w:val="Textoennegrita"/>
        </w:rPr>
        <w:t xml:space="preserve">Introducción: </w:t>
      </w:r>
      <w:r w:rsidRPr="00801865">
        <w:t>La criptorquidia es un hallazgo frecuente en pacientes con RASopatias, las cuales son causadas por alteraciones en genes de la vía Ras/MAPK. Recientes publicaciones sugiere una fuerte asociación entre la criptorquidia y genes de la vía Ras/MAPK.</w:t>
      </w:r>
    </w:p>
    <w:p w:rsidR="00AA2765" w:rsidRPr="00801865" w:rsidRDefault="003F659A" w:rsidP="001F5B49">
      <w:pPr>
        <w:pStyle w:val="NormalWeb"/>
        <w:spacing w:before="0" w:beforeAutospacing="0" w:after="0" w:afterAutospacing="0"/>
        <w:jc w:val="both"/>
      </w:pPr>
      <w:r w:rsidRPr="00801865">
        <w:rPr>
          <w:rStyle w:val="Textoennegrita"/>
        </w:rPr>
        <w:t>Objetivos:</w:t>
      </w:r>
      <w:r w:rsidRPr="00801865">
        <w:t xml:space="preserve"> Determinar si pacientes con criptorquidia aislada presentan mutaciones o variaciones en el número de copias en genes de la vía Ras/MAPK.</w:t>
      </w:r>
    </w:p>
    <w:p w:rsidR="00AA2765" w:rsidRPr="00801865" w:rsidRDefault="003F659A" w:rsidP="001F5B49">
      <w:pPr>
        <w:pStyle w:val="NormalWeb"/>
        <w:spacing w:before="0" w:beforeAutospacing="0" w:after="0" w:afterAutospacing="0"/>
        <w:jc w:val="both"/>
      </w:pPr>
      <w:r w:rsidRPr="00801865">
        <w:rPr>
          <w:rStyle w:val="Textoennegrita"/>
        </w:rPr>
        <w:t>Sujetos y Métodos:</w:t>
      </w:r>
      <w:r w:rsidRPr="00801865">
        <w:t xml:space="preserve"> Doscientos cuarenta y dos pacientes con criptorquidia fueron reclutados y clasificados en tres grupos de estudio (G1, G2 y G3), de acuerdo a su talla y presencia de fenotipo sugerente de RASopatía. Se extrajo ADN genómico para análisis molecular de los genes </w:t>
      </w:r>
      <w:r w:rsidRPr="00801865">
        <w:rPr>
          <w:rStyle w:val="nfasis"/>
        </w:rPr>
        <w:t>PTPN11</w:t>
      </w:r>
      <w:r w:rsidRPr="00801865">
        <w:t xml:space="preserve">, </w:t>
      </w:r>
      <w:r w:rsidRPr="00801865">
        <w:rPr>
          <w:rStyle w:val="nfasis"/>
        </w:rPr>
        <w:t>SOS1</w:t>
      </w:r>
      <w:r w:rsidRPr="00801865">
        <w:t xml:space="preserve">, </w:t>
      </w:r>
      <w:r w:rsidRPr="00801865">
        <w:rPr>
          <w:rStyle w:val="nfasis"/>
        </w:rPr>
        <w:t>KRAS</w:t>
      </w:r>
      <w:r w:rsidRPr="00801865">
        <w:t xml:space="preserve">, </w:t>
      </w:r>
      <w:r w:rsidRPr="00801865">
        <w:rPr>
          <w:rStyle w:val="nfasis"/>
        </w:rPr>
        <w:t>NRAS</w:t>
      </w:r>
      <w:r w:rsidRPr="00801865">
        <w:t xml:space="preserve">, </w:t>
      </w:r>
      <w:r w:rsidRPr="00801865">
        <w:rPr>
          <w:rStyle w:val="nfasis"/>
        </w:rPr>
        <w:t>HRAS</w:t>
      </w:r>
      <w:r w:rsidRPr="00801865">
        <w:t xml:space="preserve">, </w:t>
      </w:r>
      <w:r w:rsidRPr="00801865">
        <w:rPr>
          <w:rStyle w:val="nfasis"/>
        </w:rPr>
        <w:t>RAF1</w:t>
      </w:r>
      <w:r w:rsidRPr="00801865">
        <w:t xml:space="preserve">, </w:t>
      </w:r>
      <w:r w:rsidRPr="00801865">
        <w:rPr>
          <w:rStyle w:val="nfasis"/>
        </w:rPr>
        <w:t>BRAF</w:t>
      </w:r>
      <w:r w:rsidRPr="00801865">
        <w:t xml:space="preserve">, </w:t>
      </w:r>
      <w:r w:rsidRPr="00801865">
        <w:rPr>
          <w:rStyle w:val="nfasis"/>
        </w:rPr>
        <w:t>MAP2K1</w:t>
      </w:r>
      <w:r w:rsidRPr="00801865">
        <w:t xml:space="preserve"> y </w:t>
      </w:r>
      <w:r w:rsidRPr="00801865">
        <w:rPr>
          <w:rStyle w:val="nfasis"/>
        </w:rPr>
        <w:t>MAP2K2</w:t>
      </w:r>
      <w:r w:rsidRPr="00801865">
        <w:t xml:space="preserve">. El análisis molecular incluyó i) rastreo de mutaciones a través de técnica </w:t>
      </w:r>
      <w:r w:rsidRPr="00801865">
        <w:rPr>
          <w:rStyle w:val="nfasis"/>
        </w:rPr>
        <w:t>High ResolutionMelting</w:t>
      </w:r>
      <w:r w:rsidRPr="00801865">
        <w:t xml:space="preserve"> (HRM) seguido de secuenciación y ii) determinación de variaciones en el número de copias mediante hibridación genómica comparativa (aCGH) y SNPs</w:t>
      </w:r>
      <w:r w:rsidRPr="00801865">
        <w:rPr>
          <w:rStyle w:val="nfasis"/>
        </w:rPr>
        <w:t>array</w:t>
      </w:r>
      <w:r w:rsidRPr="00801865">
        <w:t>.</w:t>
      </w:r>
    </w:p>
    <w:p w:rsidR="00AA2765" w:rsidRPr="00801865" w:rsidRDefault="003F659A" w:rsidP="001F5B49">
      <w:pPr>
        <w:pStyle w:val="NormalWeb"/>
        <w:spacing w:before="0" w:beforeAutospacing="0" w:after="0" w:afterAutospacing="0"/>
        <w:jc w:val="both"/>
      </w:pPr>
      <w:r w:rsidRPr="00801865">
        <w:rPr>
          <w:rStyle w:val="Textoennegrita"/>
        </w:rPr>
        <w:t>Resultados:</w:t>
      </w:r>
      <w:r w:rsidRPr="00801865">
        <w:t xml:space="preserve"> Ciento noventa y cinco pacientes fueron clasificados como criptorquidias aisladas (G1) [Edad (</w:t>
      </w:r>
      <w:r w:rsidRPr="00801865">
        <w:rPr>
          <w:rStyle w:val="nfasis"/>
        </w:rPr>
        <w:t>años</w:t>
      </w:r>
      <w:r w:rsidRPr="00801865">
        <w:t>): 6,4 ±0,3; talla (</w:t>
      </w:r>
      <w:r w:rsidRPr="00801865">
        <w:rPr>
          <w:rStyle w:val="nfasis"/>
        </w:rPr>
        <w:t>SDS</w:t>
      </w:r>
      <w:r w:rsidRPr="00801865">
        <w:t>): 0,3 ±0,09]; 17 como criptorquidias con talla baja, pero sin fenotipo sugerente de RASopatía (G2) [Edad (</w:t>
      </w:r>
      <w:r w:rsidRPr="00801865">
        <w:rPr>
          <w:rStyle w:val="nfasis"/>
        </w:rPr>
        <w:t>años</w:t>
      </w:r>
      <w:r w:rsidRPr="00801865">
        <w:t>): 5,9 ±0,9; talla (</w:t>
      </w:r>
      <w:r w:rsidRPr="00801865">
        <w:rPr>
          <w:rStyle w:val="nfasis"/>
        </w:rPr>
        <w:t>SDS</w:t>
      </w:r>
      <w:r w:rsidRPr="00801865">
        <w:t>): -1,9 ±0,12] y 30 como criptorquidias con fenotipo sugerente de RASopatias (G3) [Edad (</w:t>
      </w:r>
      <w:r w:rsidRPr="00801865">
        <w:rPr>
          <w:rStyle w:val="nfasis"/>
        </w:rPr>
        <w:t>años</w:t>
      </w:r>
      <w:r w:rsidRPr="00801865">
        <w:t>): 6,5 ±0.8; talla (</w:t>
      </w:r>
      <w:r w:rsidRPr="00801865">
        <w:rPr>
          <w:rStyle w:val="nfasis"/>
        </w:rPr>
        <w:t>SDS</w:t>
      </w:r>
      <w:r w:rsidRPr="00801865">
        <w:t>): -1,5 ±0,22]. El análisis molecular del grupo con criptorquidia aislada (G1) mostró una sustitución sinónima (</w:t>
      </w:r>
      <w:r w:rsidRPr="00801865">
        <w:rPr>
          <w:rStyle w:val="nfasis"/>
        </w:rPr>
        <w:t>BRAF</w:t>
      </w:r>
      <w:r w:rsidRPr="00801865">
        <w:t>_p.Q456Q) en dos pacientes; cuatro sustituciones sin sentido (</w:t>
      </w:r>
      <w:r w:rsidRPr="00801865">
        <w:rPr>
          <w:rStyle w:val="nfasis"/>
        </w:rPr>
        <w:t>SOS1</w:t>
      </w:r>
      <w:r w:rsidRPr="00801865">
        <w:t>_ p.R497Q,</w:t>
      </w:r>
      <w:r w:rsidRPr="00801865">
        <w:rPr>
          <w:rStyle w:val="nfasis"/>
        </w:rPr>
        <w:t xml:space="preserve"> BRAF</w:t>
      </w:r>
      <w:r w:rsidRPr="00801865">
        <w:t xml:space="preserve">_ p.F595L, </w:t>
      </w:r>
      <w:r w:rsidRPr="00801865">
        <w:rPr>
          <w:rStyle w:val="nfasis"/>
        </w:rPr>
        <w:t>NRAS</w:t>
      </w:r>
      <w:r w:rsidRPr="00801865">
        <w:t xml:space="preserve">_ p.T50I y </w:t>
      </w:r>
      <w:r w:rsidRPr="00801865">
        <w:rPr>
          <w:rStyle w:val="nfasis"/>
        </w:rPr>
        <w:t>MAP2K2</w:t>
      </w:r>
      <w:r w:rsidRPr="00801865">
        <w:t xml:space="preserve">_ p.Y134C) y microduplicaciones del gen </w:t>
      </w:r>
      <w:r w:rsidRPr="00801865">
        <w:rPr>
          <w:rStyle w:val="nfasis"/>
        </w:rPr>
        <w:t xml:space="preserve">RAF1 </w:t>
      </w:r>
      <w:r w:rsidRPr="00801865">
        <w:t>en tres pacientes. En el caso del grupo G2 se detectó una sustitución sin sentido (</w:t>
      </w:r>
      <w:r w:rsidRPr="00801865">
        <w:rPr>
          <w:rStyle w:val="nfasis"/>
        </w:rPr>
        <w:t>BRAF</w:t>
      </w:r>
      <w:r w:rsidRPr="00801865">
        <w:t>_p.W619C) en un paciente. Finalmente, la evaluación del grupo G3 permitió la identificación de 5 mutaciones patogénicas (</w:t>
      </w:r>
      <w:r w:rsidRPr="00801865">
        <w:rPr>
          <w:rStyle w:val="nfasis"/>
        </w:rPr>
        <w:t>PTPN11</w:t>
      </w:r>
      <w:r w:rsidRPr="00801865">
        <w:t xml:space="preserve">_p.E139D, </w:t>
      </w:r>
      <w:r w:rsidRPr="00801865">
        <w:rPr>
          <w:rStyle w:val="nfasis"/>
        </w:rPr>
        <w:t>PTPN11</w:t>
      </w:r>
      <w:r w:rsidRPr="00801865">
        <w:t xml:space="preserve">_p.285L, </w:t>
      </w:r>
      <w:r w:rsidRPr="00801865">
        <w:rPr>
          <w:rStyle w:val="nfasis"/>
        </w:rPr>
        <w:t>PTPN11</w:t>
      </w:r>
      <w:r w:rsidRPr="00801865">
        <w:t xml:space="preserve">_p.T468M, </w:t>
      </w:r>
      <w:r w:rsidRPr="00801865">
        <w:rPr>
          <w:rStyle w:val="nfasis"/>
        </w:rPr>
        <w:t>SOS1</w:t>
      </w:r>
      <w:r w:rsidRPr="00801865">
        <w:t xml:space="preserve">_p.R552G y </w:t>
      </w:r>
      <w:r w:rsidRPr="00801865">
        <w:rPr>
          <w:rStyle w:val="nfasis"/>
        </w:rPr>
        <w:t>HRAS</w:t>
      </w:r>
      <w:r w:rsidRPr="00801865">
        <w:t xml:space="preserve">_p.G12S) previamente asociadas a RASopatias y dos microduplicaciones de </w:t>
      </w:r>
      <w:r w:rsidRPr="00801865">
        <w:rPr>
          <w:rStyle w:val="nfasis"/>
        </w:rPr>
        <w:t>RAF1</w:t>
      </w:r>
      <w:r w:rsidRPr="00801865">
        <w:t xml:space="preserve">. El análisis de la sustitución sinónima </w:t>
      </w:r>
      <w:r w:rsidRPr="00801865">
        <w:rPr>
          <w:rStyle w:val="nfasis"/>
        </w:rPr>
        <w:t>BRAF</w:t>
      </w:r>
      <w:r w:rsidRPr="00801865">
        <w:t xml:space="preserve">_p.Q456Q con el programa ESEfinder 2.0 predice que podría alterar el proceso de edición del mRNA de </w:t>
      </w:r>
      <w:r w:rsidRPr="00801865">
        <w:rPr>
          <w:rStyle w:val="nfasis"/>
        </w:rPr>
        <w:t>BRAF</w:t>
      </w:r>
      <w:r w:rsidRPr="00801865">
        <w:t xml:space="preserve">. Por otra parte, las sustituciones sin sentido encontradas en el grupo con criptorquidia aislada (G1) han sido asociadas a Síndromes de Noonan y Cardio-facio-cutaneo. Finalmente, microduplicaciones similares de </w:t>
      </w:r>
      <w:r w:rsidRPr="00801865">
        <w:rPr>
          <w:rStyle w:val="nfasis"/>
        </w:rPr>
        <w:t>RAF1</w:t>
      </w:r>
      <w:r w:rsidRPr="00801865">
        <w:t xml:space="preserve"> han sido descritas en pacientes con rasgos de RASopatias y aplasia testicular.</w:t>
      </w:r>
    </w:p>
    <w:p w:rsidR="00AA2765" w:rsidRPr="00801865" w:rsidRDefault="003F659A" w:rsidP="001F5B49">
      <w:pPr>
        <w:pStyle w:val="NormalWeb"/>
        <w:spacing w:before="0" w:beforeAutospacing="0" w:after="0" w:afterAutospacing="0"/>
        <w:jc w:val="both"/>
      </w:pPr>
      <w:r w:rsidRPr="00801865">
        <w:rPr>
          <w:rStyle w:val="Textoennegrita"/>
        </w:rPr>
        <w:t>Conclusiones:</w:t>
      </w:r>
      <w:r w:rsidRPr="00801865">
        <w:t xml:space="preserve"> Reportamos el primer estudio de genes de la vía Ras/MAPK en una cohorte de pacientes con criptorquidia aislada. Estos resultados sugieren que pacientes con criptorquidia aislada pueden presentar alteraciones (mutaciones o variaciones en el número de copias) en genes de la vía Ras/MAPK. </w:t>
      </w:r>
    </w:p>
    <w:p w:rsidR="003F659A" w:rsidRPr="00801865" w:rsidRDefault="003F659A" w:rsidP="001F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Financiamiento: </w:t>
      </w:r>
      <w:r w:rsidRPr="00801865">
        <w:rPr>
          <w:rFonts w:ascii="Times New Roman" w:eastAsia="Times New Roman" w:hAnsi="Times New Roman" w:cs="Times New Roman"/>
          <w:sz w:val="24"/>
          <w:szCs w:val="24"/>
        </w:rPr>
        <w:t xml:space="preserve">Proyecto Fondecyt 1140450 </w:t>
      </w:r>
    </w:p>
    <w:sectPr w:rsidR="003F659A" w:rsidRPr="00801865" w:rsidSect="00AA2765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A4"/>
    <w:rsid w:val="00095BB6"/>
    <w:rsid w:val="001725A4"/>
    <w:rsid w:val="001F5B49"/>
    <w:rsid w:val="00360EAE"/>
    <w:rsid w:val="003F659A"/>
    <w:rsid w:val="00566D51"/>
    <w:rsid w:val="00801865"/>
    <w:rsid w:val="00AA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2017-08-25T15:56:00Z</cp:lastPrinted>
  <dcterms:created xsi:type="dcterms:W3CDTF">2017-10-11T16:21:00Z</dcterms:created>
  <dcterms:modified xsi:type="dcterms:W3CDTF">2017-10-11T16:21:00Z</dcterms:modified>
</cp:coreProperties>
</file>