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23" w:rsidRPr="00562CE2" w:rsidRDefault="00933CAA" w:rsidP="007D560C">
      <w:pPr>
        <w:spacing w:after="0" w:line="240" w:lineRule="auto"/>
        <w:rPr>
          <w:rFonts w:ascii="Times New Roman" w:eastAsia="Times New Roman" w:hAnsi="Times New Roman" w:cs="Times New Roman"/>
          <w:sz w:val="24"/>
          <w:szCs w:val="24"/>
        </w:rPr>
      </w:pPr>
      <w:r>
        <w:rPr>
          <w:rFonts w:eastAsia="Times New Roman"/>
          <w:b/>
          <w:bCs/>
        </w:rPr>
        <w:t>P 106</w:t>
      </w:r>
      <w:r w:rsidR="008E75EE">
        <w:rPr>
          <w:rFonts w:eastAsia="Times New Roman"/>
          <w:b/>
          <w:bCs/>
        </w:rPr>
        <w:br/>
      </w:r>
      <w:r w:rsidR="00562CE2">
        <w:rPr>
          <w:rFonts w:eastAsia="Times New Roman"/>
          <w:b/>
          <w:bCs/>
        </w:rPr>
        <w:t>PONGÁ</w:t>
      </w:r>
      <w:r w:rsidR="007D560C">
        <w:rPr>
          <w:rFonts w:eastAsia="Times New Roman"/>
          <w:b/>
          <w:bCs/>
        </w:rPr>
        <w:t>MONOS DE ACUERDO, ¿EL TAMAÑ</w:t>
      </w:r>
      <w:r w:rsidR="008E75EE">
        <w:rPr>
          <w:rFonts w:eastAsia="Times New Roman"/>
          <w:b/>
          <w:bCs/>
        </w:rPr>
        <w:t>O IMPORTA? REPORTE PRELI</w:t>
      </w:r>
      <w:r w:rsidR="007D560C">
        <w:rPr>
          <w:rFonts w:eastAsia="Times New Roman"/>
          <w:b/>
          <w:bCs/>
        </w:rPr>
        <w:t>MINAR DE RESULTADOS DE PAF EN NÓ</w:t>
      </w:r>
      <w:r w:rsidR="008E75EE">
        <w:rPr>
          <w:rFonts w:eastAsia="Times New Roman"/>
          <w:b/>
          <w:bCs/>
        </w:rPr>
        <w:t>DULOS TIROIDEOS &gt;3 CM</w:t>
      </w:r>
      <w:r w:rsidR="007D560C">
        <w:rPr>
          <w:rFonts w:eastAsia="Times New Roman"/>
        </w:rPr>
        <w:br/>
      </w:r>
      <w:r w:rsidR="008E75EE" w:rsidRPr="00562CE2">
        <w:rPr>
          <w:rFonts w:ascii="Times New Roman" w:eastAsia="Times New Roman" w:hAnsi="Times New Roman" w:cs="Times New Roman"/>
          <w:sz w:val="24"/>
          <w:szCs w:val="24"/>
        </w:rPr>
        <w:t>Claudio Lagos Cárcamo</w:t>
      </w:r>
      <w:r w:rsidR="008E75EE" w:rsidRPr="00562CE2">
        <w:rPr>
          <w:rFonts w:ascii="Times New Roman" w:eastAsia="Times New Roman" w:hAnsi="Times New Roman" w:cs="Times New Roman"/>
          <w:sz w:val="24"/>
          <w:szCs w:val="24"/>
          <w:vertAlign w:val="superscript"/>
        </w:rPr>
        <w:t>1</w:t>
      </w:r>
      <w:r w:rsidR="008E75EE" w:rsidRPr="00562CE2">
        <w:rPr>
          <w:rFonts w:ascii="Times New Roman" w:eastAsia="Times New Roman" w:hAnsi="Times New Roman" w:cs="Times New Roman"/>
          <w:sz w:val="24"/>
          <w:szCs w:val="24"/>
        </w:rPr>
        <w:t>, Carolina Herrera Apostolidis</w:t>
      </w:r>
      <w:r w:rsidR="008E75EE" w:rsidRPr="00562CE2">
        <w:rPr>
          <w:rFonts w:ascii="Times New Roman" w:eastAsia="Times New Roman" w:hAnsi="Times New Roman" w:cs="Times New Roman"/>
          <w:sz w:val="24"/>
          <w:szCs w:val="24"/>
          <w:vertAlign w:val="superscript"/>
        </w:rPr>
        <w:t>2</w:t>
      </w:r>
      <w:r w:rsidR="008E75EE" w:rsidRPr="00562CE2">
        <w:rPr>
          <w:rFonts w:ascii="Times New Roman" w:eastAsia="Times New Roman" w:hAnsi="Times New Roman" w:cs="Times New Roman"/>
          <w:sz w:val="24"/>
          <w:szCs w:val="24"/>
        </w:rPr>
        <w:t>, Francisco Cruz Olivos</w:t>
      </w:r>
      <w:r w:rsidR="008E75EE" w:rsidRPr="00562CE2">
        <w:rPr>
          <w:rFonts w:ascii="Times New Roman" w:eastAsia="Times New Roman" w:hAnsi="Times New Roman" w:cs="Times New Roman"/>
          <w:sz w:val="24"/>
          <w:szCs w:val="24"/>
          <w:vertAlign w:val="superscript"/>
        </w:rPr>
        <w:t>2</w:t>
      </w:r>
      <w:r w:rsidR="008E75EE" w:rsidRPr="00562CE2">
        <w:rPr>
          <w:rFonts w:ascii="Times New Roman" w:eastAsia="Times New Roman" w:hAnsi="Times New Roman" w:cs="Times New Roman"/>
          <w:sz w:val="24"/>
          <w:szCs w:val="24"/>
        </w:rPr>
        <w:br/>
      </w:r>
      <w:r w:rsidR="008E75EE" w:rsidRPr="00562CE2">
        <w:rPr>
          <w:rFonts w:ascii="Times New Roman" w:eastAsia="Times New Roman" w:hAnsi="Times New Roman" w:cs="Times New Roman"/>
          <w:sz w:val="24"/>
          <w:szCs w:val="24"/>
          <w:vertAlign w:val="superscript"/>
        </w:rPr>
        <w:t>1</w:t>
      </w:r>
      <w:r w:rsidR="00562CE2">
        <w:rPr>
          <w:rFonts w:ascii="Times New Roman" w:eastAsia="Times New Roman" w:hAnsi="Times New Roman" w:cs="Times New Roman"/>
          <w:sz w:val="24"/>
          <w:szCs w:val="24"/>
        </w:rPr>
        <w:t>Pontificia U</w:t>
      </w:r>
      <w:r w:rsidR="008E75EE" w:rsidRPr="00562CE2">
        <w:rPr>
          <w:rFonts w:ascii="Times New Roman" w:eastAsia="Times New Roman" w:hAnsi="Times New Roman" w:cs="Times New Roman"/>
          <w:sz w:val="24"/>
          <w:szCs w:val="24"/>
        </w:rPr>
        <w:t xml:space="preserve">niversidad Católica de Chile, </w:t>
      </w:r>
      <w:r w:rsidR="008E75EE" w:rsidRPr="00562CE2">
        <w:rPr>
          <w:rFonts w:ascii="Times New Roman" w:eastAsia="Times New Roman" w:hAnsi="Times New Roman" w:cs="Times New Roman"/>
          <w:sz w:val="24"/>
          <w:szCs w:val="24"/>
          <w:vertAlign w:val="superscript"/>
        </w:rPr>
        <w:t>2</w:t>
      </w:r>
      <w:r w:rsidR="008E75EE" w:rsidRPr="00562CE2">
        <w:rPr>
          <w:rFonts w:ascii="Times New Roman" w:eastAsia="Times New Roman" w:hAnsi="Times New Roman" w:cs="Times New Roman"/>
          <w:sz w:val="24"/>
          <w:szCs w:val="24"/>
        </w:rPr>
        <w:t>Hospital Clínico Universidad Católica de Chile</w:t>
      </w:r>
      <w:r w:rsidR="008E75EE" w:rsidRPr="00562CE2">
        <w:rPr>
          <w:rFonts w:ascii="Times New Roman" w:eastAsia="Times New Roman" w:hAnsi="Times New Roman" w:cs="Times New Roman"/>
          <w:sz w:val="24"/>
          <w:szCs w:val="24"/>
        </w:rPr>
        <w:br/>
      </w:r>
    </w:p>
    <w:p w:rsidR="00C30D23" w:rsidRPr="00562CE2" w:rsidRDefault="008E75EE" w:rsidP="00817C53">
      <w:pPr>
        <w:pStyle w:val="NormalWeb"/>
        <w:spacing w:before="0" w:beforeAutospacing="0" w:after="0" w:afterAutospacing="0"/>
        <w:jc w:val="both"/>
      </w:pPr>
      <w:r w:rsidRPr="00562CE2">
        <w:t>Es conocido el aumento de cáncer tiroideo (CT) durante los últimos 20 años, explicado en parte importante por la aparición de herramientas más disponibles y fáciles de aplicar, como la ecografía (US) y la PAF. La evidencia sugiere que el tamaño nodular es irrelevante, hecho controversial y no bien demostrado hasta ahora.</w:t>
      </w:r>
    </w:p>
    <w:p w:rsidR="00C30D23" w:rsidRPr="00C234FC" w:rsidRDefault="008E75EE" w:rsidP="00817C53">
      <w:pPr>
        <w:pStyle w:val="NormalWeb"/>
        <w:spacing w:before="0" w:beforeAutospacing="0" w:after="0" w:afterAutospacing="0"/>
        <w:jc w:val="both"/>
        <w:rPr>
          <w:b/>
        </w:rPr>
      </w:pPr>
      <w:r w:rsidRPr="00C234FC">
        <w:rPr>
          <w:b/>
        </w:rPr>
        <w:t>Diseño</w:t>
      </w:r>
      <w:r w:rsidR="00C234FC">
        <w:rPr>
          <w:b/>
        </w:rPr>
        <w:t>:</w:t>
      </w:r>
    </w:p>
    <w:p w:rsidR="00C30D23" w:rsidRPr="00562CE2" w:rsidRDefault="008E75EE" w:rsidP="00817C53">
      <w:pPr>
        <w:pStyle w:val="NormalWeb"/>
        <w:spacing w:before="0" w:beforeAutospacing="0" w:after="0" w:afterAutospacing="0"/>
        <w:jc w:val="both"/>
      </w:pPr>
      <w:r w:rsidRPr="00562CE2">
        <w:t>Análisis retrospectivo de todas las PAF de nódulos tiroideos (NT) &gt;3 cm realizadas entre 2010 y 2015 en un centro.</w:t>
      </w:r>
    </w:p>
    <w:p w:rsidR="00C30D23" w:rsidRPr="006650D1" w:rsidRDefault="008E75EE" w:rsidP="00817C53">
      <w:pPr>
        <w:pStyle w:val="NormalWeb"/>
        <w:spacing w:before="0" w:beforeAutospacing="0" w:after="0" w:afterAutospacing="0"/>
        <w:jc w:val="both"/>
        <w:rPr>
          <w:b/>
        </w:rPr>
      </w:pPr>
      <w:r w:rsidRPr="006650D1">
        <w:rPr>
          <w:b/>
        </w:rPr>
        <w:t>Metodología</w:t>
      </w:r>
      <w:r w:rsidR="006650D1">
        <w:rPr>
          <w:b/>
        </w:rPr>
        <w:t>:</w:t>
      </w:r>
    </w:p>
    <w:p w:rsidR="00C30D23" w:rsidRPr="00562CE2" w:rsidRDefault="008E75EE" w:rsidP="00817C53">
      <w:pPr>
        <w:pStyle w:val="NormalWeb"/>
        <w:spacing w:before="0" w:beforeAutospacing="0" w:after="0" w:afterAutospacing="0"/>
        <w:jc w:val="both"/>
      </w:pPr>
      <w:r w:rsidRPr="00562CE2">
        <w:t>Se revisaron las citologías de 452 PAF de NT &gt;3cm, informadas por 4 patólogos especialistas en tiroides, se clasificaron según Bethesda (Bt). Se vio seguimiento y biopsias quirúrgicas (Bx) de todos los NT operados de este grupo para confirmar diagnóstico. Se calculó la distribución de histologías de todos los catalogables como malignos. Se conformó este último grupo con estos criterios: Bt 6; linfoma (Lf) con citometría de flujo confirmatoria; Bt 1-5 con Bx definitiva de Ca papilar (CPT), Ca folicular (CFT), mixto, Ca anaplástico (CAn) o medular. Se hicieron los cálculos estadísticos con SPSS 19.</w:t>
      </w:r>
    </w:p>
    <w:p w:rsidR="00C30D23" w:rsidRPr="006650D1" w:rsidRDefault="008E75EE" w:rsidP="00817C53">
      <w:pPr>
        <w:pStyle w:val="NormalWeb"/>
        <w:spacing w:before="0" w:beforeAutospacing="0" w:after="0" w:afterAutospacing="0"/>
        <w:jc w:val="both"/>
        <w:rPr>
          <w:b/>
        </w:rPr>
      </w:pPr>
      <w:r w:rsidRPr="006650D1">
        <w:rPr>
          <w:b/>
        </w:rPr>
        <w:t>Resultados</w:t>
      </w:r>
      <w:r w:rsidR="006650D1">
        <w:rPr>
          <w:b/>
        </w:rPr>
        <w:t>:</w:t>
      </w:r>
    </w:p>
    <w:p w:rsidR="00C30D23" w:rsidRPr="00562CE2" w:rsidRDefault="008E75EE" w:rsidP="00817C53">
      <w:pPr>
        <w:pStyle w:val="NormalWeb"/>
        <w:spacing w:before="0" w:beforeAutospacing="0" w:after="0" w:afterAutospacing="0"/>
        <w:jc w:val="both"/>
      </w:pPr>
      <w:r w:rsidRPr="00562CE2">
        <w:t>Según grupo, los resultados fueron los siguientes (con respecto al total)</w:t>
      </w:r>
    </w:p>
    <w:p w:rsidR="00C30D23" w:rsidRPr="00562CE2" w:rsidRDefault="008E75EE" w:rsidP="00817C53">
      <w:pPr>
        <w:pStyle w:val="NormalWeb"/>
        <w:spacing w:before="0" w:beforeAutospacing="0" w:after="0" w:afterAutospacing="0"/>
        <w:jc w:val="both"/>
      </w:pPr>
      <w:r w:rsidRPr="00562CE2">
        <w:t>Bt 1: 48 NT (10,6%). Operados 6 (3 por estética, 1 síntoma compresivo, 1 por duda diagnóstica, 1 por CPT en otro NT), todos con Bx negativas.</w:t>
      </w:r>
    </w:p>
    <w:p w:rsidR="00C30D23" w:rsidRPr="00562CE2" w:rsidRDefault="008E75EE" w:rsidP="00817C53">
      <w:pPr>
        <w:pStyle w:val="NormalWeb"/>
        <w:spacing w:before="0" w:beforeAutospacing="0" w:after="0" w:afterAutospacing="0"/>
        <w:jc w:val="both"/>
      </w:pPr>
      <w:r w:rsidRPr="00562CE2">
        <w:t>Bt 2: 290 NT (64,1%). Operados 37 (6 por síntomas compresivos, 31 por estética). Se obtuvo 7 lesiones malignas (8 CPT, 1 CFT).</w:t>
      </w:r>
    </w:p>
    <w:p w:rsidR="00C30D23" w:rsidRPr="00562CE2" w:rsidRDefault="008E75EE" w:rsidP="00817C53">
      <w:pPr>
        <w:pStyle w:val="NormalWeb"/>
        <w:spacing w:before="0" w:beforeAutospacing="0" w:after="0" w:afterAutospacing="0"/>
        <w:jc w:val="both"/>
      </w:pPr>
      <w:r w:rsidRPr="00562CE2">
        <w:t>Bt 3: 24 NT (5,3%). Operados 10, 2 malignos (1 CPT, 1 CFT)</w:t>
      </w:r>
    </w:p>
    <w:p w:rsidR="00C30D23" w:rsidRPr="00562CE2" w:rsidRDefault="008E75EE" w:rsidP="00817C53">
      <w:pPr>
        <w:pStyle w:val="NormalWeb"/>
        <w:spacing w:before="0" w:beforeAutospacing="0" w:after="0" w:afterAutospacing="0"/>
        <w:jc w:val="both"/>
      </w:pPr>
      <w:r w:rsidRPr="00562CE2">
        <w:t>Bt 4: 37 NT (8,2%). Operados 16, 2 sólo observación (uno por MTT pulmonares de CT pobremente diferenciado), 12 malignos. Los 19 restantes sin seguimiento en la institución.</w:t>
      </w:r>
    </w:p>
    <w:p w:rsidR="00C30D23" w:rsidRPr="00562CE2" w:rsidRDefault="008E75EE" w:rsidP="00817C53">
      <w:pPr>
        <w:pStyle w:val="NormalWeb"/>
        <w:spacing w:before="0" w:beforeAutospacing="0" w:after="0" w:afterAutospacing="0"/>
        <w:jc w:val="both"/>
      </w:pPr>
      <w:r w:rsidRPr="00562CE2">
        <w:t>Bt 5: 9 NT (2%). Operados 2 (1 CPT y 1 Lf)</w:t>
      </w:r>
    </w:p>
    <w:p w:rsidR="00C30D23" w:rsidRPr="00562CE2" w:rsidRDefault="008E75EE" w:rsidP="00817C53">
      <w:pPr>
        <w:pStyle w:val="NormalWeb"/>
        <w:spacing w:before="0" w:beforeAutospacing="0" w:after="0" w:afterAutospacing="0"/>
        <w:jc w:val="both"/>
      </w:pPr>
      <w:r w:rsidRPr="00562CE2">
        <w:t>Bt 6: 44 NT (9,7%). 26 con seguimiento en la institución, 21 operados (todos con histología y PAF concordantes), 1 CPT metastásico, 1 Ca páncreas terminal concomitante, 3 CAn avanzados. Los 18 restantes sin seguimiento institucional.</w:t>
      </w:r>
    </w:p>
    <w:p w:rsidR="00C30D23" w:rsidRPr="00562CE2" w:rsidRDefault="008E75EE" w:rsidP="00817C53">
      <w:pPr>
        <w:pStyle w:val="NormalWeb"/>
        <w:spacing w:before="0" w:beforeAutospacing="0" w:after="0" w:afterAutospacing="0"/>
        <w:jc w:val="both"/>
      </w:pPr>
      <w:r w:rsidRPr="00562CE2">
        <w:t>Según lo descrito, se obtuvo un total de 76 NT malignos (16,6% [13-20]). La distribución de sus histologías fue la siguiente [IC 95%]:</w:t>
      </w:r>
    </w:p>
    <w:p w:rsidR="00C30D23" w:rsidRPr="00562CE2" w:rsidRDefault="008E75EE" w:rsidP="00817C53">
      <w:pPr>
        <w:pStyle w:val="NormalWeb"/>
        <w:spacing w:before="0" w:beforeAutospacing="0" w:after="0" w:afterAutospacing="0"/>
        <w:jc w:val="both"/>
      </w:pPr>
      <w:r w:rsidRPr="00562CE2">
        <w:t>-CPT: 46 NT; 60,5% [50-71,1]</w:t>
      </w:r>
    </w:p>
    <w:p w:rsidR="00C30D23" w:rsidRPr="00562CE2" w:rsidRDefault="008E75EE" w:rsidP="00817C53">
      <w:pPr>
        <w:pStyle w:val="NormalWeb"/>
        <w:spacing w:before="0" w:beforeAutospacing="0" w:after="0" w:afterAutospacing="0"/>
        <w:jc w:val="both"/>
        <w:rPr>
          <w:lang w:val="en-US"/>
        </w:rPr>
      </w:pPr>
      <w:r w:rsidRPr="00562CE2">
        <w:rPr>
          <w:lang w:val="en-US"/>
        </w:rPr>
        <w:t>-CFT: 11 NT; 14</w:t>
      </w:r>
      <w:proofErr w:type="gramStart"/>
      <w:r w:rsidRPr="00562CE2">
        <w:rPr>
          <w:lang w:val="en-US"/>
        </w:rPr>
        <w:t>,5</w:t>
      </w:r>
      <w:proofErr w:type="gramEnd"/>
      <w:r w:rsidRPr="00562CE2">
        <w:rPr>
          <w:lang w:val="en-US"/>
        </w:rPr>
        <w:t>% [6,8-22,4]</w:t>
      </w:r>
    </w:p>
    <w:p w:rsidR="00C30D23" w:rsidRPr="00562CE2" w:rsidRDefault="008E75EE" w:rsidP="00817C53">
      <w:pPr>
        <w:pStyle w:val="NormalWeb"/>
        <w:spacing w:before="0" w:beforeAutospacing="0" w:after="0" w:afterAutospacing="0"/>
        <w:jc w:val="both"/>
        <w:rPr>
          <w:lang w:val="en-US"/>
        </w:rPr>
      </w:pPr>
      <w:r w:rsidRPr="00562CE2">
        <w:rPr>
          <w:lang w:val="en-US"/>
        </w:rPr>
        <w:t>-CPT variante folicular: 2 NT; 2</w:t>
      </w:r>
      <w:proofErr w:type="gramStart"/>
      <w:r w:rsidRPr="00562CE2">
        <w:rPr>
          <w:lang w:val="en-US"/>
        </w:rPr>
        <w:t>,6</w:t>
      </w:r>
      <w:proofErr w:type="gramEnd"/>
      <w:r w:rsidRPr="00562CE2">
        <w:rPr>
          <w:lang w:val="en-US"/>
        </w:rPr>
        <w:t>% [0-6,6]</w:t>
      </w:r>
    </w:p>
    <w:p w:rsidR="00C30D23" w:rsidRPr="00562CE2" w:rsidRDefault="008E75EE" w:rsidP="00817C53">
      <w:pPr>
        <w:pStyle w:val="NormalWeb"/>
        <w:spacing w:before="0" w:beforeAutospacing="0" w:after="0" w:afterAutospacing="0"/>
        <w:jc w:val="both"/>
        <w:rPr>
          <w:lang w:val="en-US"/>
        </w:rPr>
      </w:pPr>
      <w:r w:rsidRPr="00562CE2">
        <w:rPr>
          <w:lang w:val="en-US"/>
        </w:rPr>
        <w:t>-CAn: 6 NT; 8% [2</w:t>
      </w:r>
      <w:proofErr w:type="gramStart"/>
      <w:r w:rsidRPr="00562CE2">
        <w:rPr>
          <w:lang w:val="en-US"/>
        </w:rPr>
        <w:t>,6</w:t>
      </w:r>
      <w:proofErr w:type="gramEnd"/>
      <w:r w:rsidRPr="00562CE2">
        <w:rPr>
          <w:lang w:val="en-US"/>
        </w:rPr>
        <w:t>-14,5]</w:t>
      </w:r>
    </w:p>
    <w:p w:rsidR="00C30D23" w:rsidRPr="00562CE2" w:rsidRDefault="008E75EE" w:rsidP="00817C53">
      <w:pPr>
        <w:pStyle w:val="NormalWeb"/>
        <w:spacing w:before="0" w:beforeAutospacing="0" w:after="0" w:afterAutospacing="0"/>
        <w:jc w:val="both"/>
        <w:rPr>
          <w:lang w:val="en-US"/>
        </w:rPr>
      </w:pPr>
      <w:r w:rsidRPr="00562CE2">
        <w:rPr>
          <w:lang w:val="en-US"/>
        </w:rPr>
        <w:t>-Lf: 9 NT; 12% [5</w:t>
      </w:r>
      <w:proofErr w:type="gramStart"/>
      <w:r w:rsidRPr="00562CE2">
        <w:rPr>
          <w:lang w:val="en-US"/>
        </w:rPr>
        <w:t>,3</w:t>
      </w:r>
      <w:proofErr w:type="gramEnd"/>
      <w:r w:rsidRPr="00562CE2">
        <w:rPr>
          <w:lang w:val="en-US"/>
        </w:rPr>
        <w:t>-19,7]</w:t>
      </w:r>
    </w:p>
    <w:p w:rsidR="00C30D23" w:rsidRPr="00562CE2" w:rsidRDefault="008E75EE" w:rsidP="00817C53">
      <w:pPr>
        <w:pStyle w:val="NormalWeb"/>
        <w:spacing w:before="0" w:beforeAutospacing="0" w:after="0" w:afterAutospacing="0"/>
        <w:jc w:val="both"/>
        <w:rPr>
          <w:lang w:val="en-US"/>
        </w:rPr>
      </w:pPr>
      <w:r w:rsidRPr="00562CE2">
        <w:rPr>
          <w:lang w:val="en-US"/>
        </w:rPr>
        <w:t>-Medular: 1 NT; 1</w:t>
      </w:r>
      <w:proofErr w:type="gramStart"/>
      <w:r w:rsidRPr="00562CE2">
        <w:rPr>
          <w:lang w:val="en-US"/>
        </w:rPr>
        <w:t>,3</w:t>
      </w:r>
      <w:proofErr w:type="gramEnd"/>
      <w:r w:rsidRPr="00562CE2">
        <w:rPr>
          <w:lang w:val="en-US"/>
        </w:rPr>
        <w:t>% [0-3,9]</w:t>
      </w:r>
    </w:p>
    <w:p w:rsidR="00C30D23" w:rsidRPr="00562CE2" w:rsidRDefault="008E75EE" w:rsidP="00817C53">
      <w:pPr>
        <w:pStyle w:val="NormalWeb"/>
        <w:spacing w:before="0" w:beforeAutospacing="0" w:after="0" w:afterAutospacing="0"/>
        <w:jc w:val="both"/>
        <w:rPr>
          <w:lang w:val="en-US"/>
        </w:rPr>
      </w:pPr>
      <w:r w:rsidRPr="00562CE2">
        <w:rPr>
          <w:lang w:val="en-US"/>
        </w:rPr>
        <w:t>-Mixto (CAn+CPT): 1 NT; 1</w:t>
      </w:r>
      <w:proofErr w:type="gramStart"/>
      <w:r w:rsidRPr="00562CE2">
        <w:rPr>
          <w:lang w:val="en-US"/>
        </w:rPr>
        <w:t>,3</w:t>
      </w:r>
      <w:proofErr w:type="gramEnd"/>
      <w:r w:rsidRPr="00562CE2">
        <w:rPr>
          <w:lang w:val="en-US"/>
        </w:rPr>
        <w:t>% [0-3,9]</w:t>
      </w:r>
    </w:p>
    <w:p w:rsidR="00C30D23" w:rsidRPr="00562CE2" w:rsidRDefault="008E75EE" w:rsidP="00817C53">
      <w:pPr>
        <w:pStyle w:val="NormalWeb"/>
        <w:spacing w:before="0" w:beforeAutospacing="0" w:after="0" w:afterAutospacing="0"/>
        <w:jc w:val="both"/>
      </w:pPr>
      <w:r w:rsidRPr="00562CE2">
        <w:t>Se encontró una diferencia significativa entre las medias del tamaño entre CPT-anaplástico (37,8cm [35,3-40,8] vs 60,7cm [38,2-90,9]; p&lt;0,05) y CPT-linfoma (37,8cm [35,3-40,8] vs 60,6 cm [44,8-81,6]; p&lt;0,05).</w:t>
      </w:r>
    </w:p>
    <w:p w:rsidR="00C30D23" w:rsidRPr="006650D1" w:rsidRDefault="008E75EE" w:rsidP="00817C53">
      <w:pPr>
        <w:pStyle w:val="NormalWeb"/>
        <w:spacing w:before="0" w:beforeAutospacing="0" w:after="0" w:afterAutospacing="0"/>
        <w:jc w:val="both"/>
        <w:rPr>
          <w:b/>
        </w:rPr>
      </w:pPr>
      <w:r w:rsidRPr="006650D1">
        <w:rPr>
          <w:b/>
        </w:rPr>
        <w:t>Conclusiones</w:t>
      </w:r>
      <w:r w:rsidR="006650D1">
        <w:rPr>
          <w:b/>
        </w:rPr>
        <w:t>:</w:t>
      </w:r>
    </w:p>
    <w:p w:rsidR="00C30D23" w:rsidRPr="00562CE2" w:rsidRDefault="008E75EE" w:rsidP="00817C53">
      <w:pPr>
        <w:pStyle w:val="NormalWeb"/>
        <w:spacing w:before="0" w:beforeAutospacing="0" w:after="0" w:afterAutospacing="0"/>
        <w:jc w:val="both"/>
      </w:pPr>
      <w:r w:rsidRPr="00562CE2">
        <w:t>Series bien diseñadas reportan tasas generales de CT entre 4-6%. En NT &gt;3 cm podría haber una tasa mayor, aunque faltan más datos para aseverar esto con propiedad.</w:t>
      </w:r>
    </w:p>
    <w:p w:rsidR="00C30D23" w:rsidRPr="00562CE2" w:rsidRDefault="008E75EE" w:rsidP="00817C53">
      <w:pPr>
        <w:pStyle w:val="NormalWeb"/>
        <w:spacing w:before="0" w:beforeAutospacing="0" w:after="0" w:afterAutospacing="0"/>
        <w:jc w:val="both"/>
      </w:pPr>
      <w:r w:rsidRPr="00562CE2">
        <w:t>No obstante, se aprecia una distribución histológica muy diferente en el grupo &gt;3cm a lo reportado en el grupo de NT sin discriminar por tamaño, según lo publicado en nuestra institución previamente. Asimismo, hay una diferencia significativa entre el tamaño de presentación promedio de CPT y Lf/CAn en este grupo.</w:t>
      </w:r>
    </w:p>
    <w:p w:rsidR="008E75EE" w:rsidRPr="00562CE2" w:rsidRDefault="008E75EE" w:rsidP="00817C53">
      <w:pPr>
        <w:spacing w:after="0" w:line="240" w:lineRule="auto"/>
        <w:jc w:val="both"/>
        <w:rPr>
          <w:rFonts w:ascii="Times New Roman" w:eastAsia="Times New Roman" w:hAnsi="Times New Roman" w:cs="Times New Roman"/>
          <w:sz w:val="24"/>
          <w:szCs w:val="24"/>
        </w:rPr>
      </w:pPr>
      <w:r w:rsidRPr="00562CE2">
        <w:rPr>
          <w:rFonts w:ascii="Times New Roman" w:eastAsia="Times New Roman" w:hAnsi="Times New Roman" w:cs="Times New Roman"/>
          <w:sz w:val="24"/>
          <w:szCs w:val="24"/>
        </w:rPr>
        <w:br/>
      </w:r>
    </w:p>
    <w:sectPr w:rsidR="008E75EE" w:rsidRPr="00562CE2" w:rsidSect="00C30D2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1446F"/>
    <w:rsid w:val="00562CE2"/>
    <w:rsid w:val="00575796"/>
    <w:rsid w:val="006650D1"/>
    <w:rsid w:val="007D560C"/>
    <w:rsid w:val="00817C53"/>
    <w:rsid w:val="008E75EE"/>
    <w:rsid w:val="0091446F"/>
    <w:rsid w:val="00933CAA"/>
    <w:rsid w:val="00A23DFF"/>
    <w:rsid w:val="00C234FC"/>
    <w:rsid w:val="00C30D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0D2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2017-08-28T13:02:00Z</cp:lastPrinted>
  <dcterms:created xsi:type="dcterms:W3CDTF">2017-10-09T16:40:00Z</dcterms:created>
  <dcterms:modified xsi:type="dcterms:W3CDTF">2017-10-09T16:40:00Z</dcterms:modified>
</cp:coreProperties>
</file>