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62" w:rsidRPr="004C4862" w:rsidRDefault="00927907" w:rsidP="004C4862">
      <w:pPr>
        <w:spacing w:after="0" w:line="240" w:lineRule="auto"/>
        <w:rPr>
          <w:rStyle w:val="Textoennegrita"/>
          <w:rFonts w:ascii="Times New Roman" w:hAnsi="Times New Roman" w:cs="Times New Roman"/>
          <w:sz w:val="24"/>
          <w:szCs w:val="24"/>
        </w:rPr>
      </w:pPr>
      <w:r>
        <w:rPr>
          <w:rFonts w:eastAsia="Times New Roman"/>
          <w:b/>
        </w:rPr>
        <w:t>P 128</w:t>
      </w:r>
      <w:r w:rsidR="00401520" w:rsidRPr="004C4862">
        <w:rPr>
          <w:rFonts w:eastAsia="Times New Roman"/>
          <w:b/>
        </w:rPr>
        <w:br/>
        <w:t xml:space="preserve">PROCESO DE TRANSICIÓN DE </w:t>
      </w:r>
      <w:r w:rsidR="004C4862">
        <w:rPr>
          <w:rFonts w:eastAsia="Times New Roman"/>
          <w:b/>
        </w:rPr>
        <w:t>ADOLESCENTES DESDE ENDOCRINOLOGÍ</w:t>
      </w:r>
      <w:r w:rsidR="00401520" w:rsidRPr="004C4862">
        <w:rPr>
          <w:rFonts w:eastAsia="Times New Roman"/>
          <w:b/>
        </w:rPr>
        <w:t>A PEDIÁTRICA A LOS SERVICI</w:t>
      </w:r>
      <w:r w:rsidR="00DD222A">
        <w:rPr>
          <w:rFonts w:eastAsia="Times New Roman"/>
          <w:b/>
        </w:rPr>
        <w:t>OS DE ADULTO EN LATINO AMÉ</w:t>
      </w:r>
      <w:r w:rsidR="00060457">
        <w:rPr>
          <w:rFonts w:eastAsia="Times New Roman"/>
          <w:b/>
        </w:rPr>
        <w:t>RICA</w:t>
      </w:r>
      <w:r w:rsidR="00401520" w:rsidRPr="004C4862">
        <w:rPr>
          <w:rFonts w:eastAsia="Times New Roman"/>
          <w:b/>
        </w:rPr>
        <w:br/>
      </w:r>
      <w:r w:rsidR="00401520" w:rsidRPr="004C4862">
        <w:rPr>
          <w:rFonts w:ascii="Times New Roman" w:eastAsia="Times New Roman" w:hAnsi="Times New Roman" w:cs="Times New Roman"/>
          <w:sz w:val="24"/>
          <w:szCs w:val="24"/>
        </w:rPr>
        <w:t>M</w:t>
      </w:r>
      <w:r w:rsidR="004C4862">
        <w:rPr>
          <w:rFonts w:ascii="Times New Roman" w:eastAsia="Times New Roman" w:hAnsi="Times New Roman" w:cs="Times New Roman"/>
          <w:sz w:val="24"/>
          <w:szCs w:val="24"/>
        </w:rPr>
        <w:t>agdalena Mira Olivos</w:t>
      </w:r>
      <w:r w:rsidR="00401520" w:rsidRPr="004C4862">
        <w:rPr>
          <w:rFonts w:ascii="Times New Roman" w:eastAsia="Times New Roman" w:hAnsi="Times New Roman" w:cs="Times New Roman"/>
          <w:sz w:val="24"/>
          <w:szCs w:val="24"/>
          <w:vertAlign w:val="superscript"/>
        </w:rPr>
        <w:t>1</w:t>
      </w:r>
      <w:r w:rsidR="00401520" w:rsidRPr="004C4862">
        <w:rPr>
          <w:rFonts w:ascii="Times New Roman" w:eastAsia="Times New Roman" w:hAnsi="Times New Roman" w:cs="Times New Roman"/>
          <w:sz w:val="24"/>
          <w:szCs w:val="24"/>
        </w:rPr>
        <w:t>, Hamilton Raúl Cassinelli</w:t>
      </w:r>
      <w:r w:rsidR="00401520" w:rsidRPr="004C4862">
        <w:rPr>
          <w:rFonts w:ascii="Times New Roman" w:eastAsia="Times New Roman" w:hAnsi="Times New Roman" w:cs="Times New Roman"/>
          <w:sz w:val="24"/>
          <w:szCs w:val="24"/>
          <w:vertAlign w:val="superscript"/>
        </w:rPr>
        <w:t>2</w:t>
      </w:r>
      <w:r w:rsidR="00401520" w:rsidRPr="004C4862">
        <w:rPr>
          <w:rFonts w:ascii="Times New Roman" w:eastAsia="Times New Roman" w:hAnsi="Times New Roman" w:cs="Times New Roman"/>
          <w:sz w:val="24"/>
          <w:szCs w:val="24"/>
        </w:rPr>
        <w:t>, E</w:t>
      </w:r>
      <w:r w:rsidR="004C4862">
        <w:rPr>
          <w:rFonts w:ascii="Times New Roman" w:eastAsia="Times New Roman" w:hAnsi="Times New Roman" w:cs="Times New Roman"/>
          <w:sz w:val="24"/>
          <w:szCs w:val="24"/>
        </w:rPr>
        <w:t>thel Codner Dujovne</w:t>
      </w:r>
      <w:r w:rsidR="00401520" w:rsidRPr="004C4862">
        <w:rPr>
          <w:rFonts w:ascii="Times New Roman" w:eastAsia="Times New Roman" w:hAnsi="Times New Roman" w:cs="Times New Roman"/>
          <w:sz w:val="24"/>
          <w:szCs w:val="24"/>
          <w:vertAlign w:val="superscript"/>
        </w:rPr>
        <w:t>1</w:t>
      </w:r>
      <w:r w:rsidR="00401520" w:rsidRPr="004C4862">
        <w:rPr>
          <w:rFonts w:ascii="Times New Roman" w:eastAsia="Times New Roman" w:hAnsi="Times New Roman" w:cs="Times New Roman"/>
          <w:sz w:val="24"/>
          <w:szCs w:val="24"/>
        </w:rPr>
        <w:br/>
      </w:r>
      <w:r w:rsidR="00401520" w:rsidRPr="004C4862">
        <w:rPr>
          <w:rFonts w:ascii="Times New Roman" w:eastAsia="Times New Roman" w:hAnsi="Times New Roman" w:cs="Times New Roman"/>
          <w:sz w:val="24"/>
          <w:szCs w:val="24"/>
          <w:vertAlign w:val="superscript"/>
        </w:rPr>
        <w:t>1</w:t>
      </w:r>
      <w:r w:rsidR="00401520" w:rsidRPr="004C4862">
        <w:rPr>
          <w:rFonts w:ascii="Times New Roman" w:eastAsia="Times New Roman" w:hAnsi="Times New Roman" w:cs="Times New Roman"/>
          <w:sz w:val="24"/>
          <w:szCs w:val="24"/>
        </w:rPr>
        <w:t xml:space="preserve">IDIMI, Universidad de Chile, </w:t>
      </w:r>
      <w:r w:rsidR="00401520" w:rsidRPr="004C4862">
        <w:rPr>
          <w:rFonts w:ascii="Times New Roman" w:eastAsia="Times New Roman" w:hAnsi="Times New Roman" w:cs="Times New Roman"/>
          <w:sz w:val="24"/>
          <w:szCs w:val="24"/>
          <w:vertAlign w:val="superscript"/>
        </w:rPr>
        <w:t>2</w:t>
      </w:r>
      <w:r w:rsidR="00401520" w:rsidRPr="004C4862">
        <w:rPr>
          <w:rFonts w:ascii="Times New Roman" w:eastAsia="Times New Roman" w:hAnsi="Times New Roman" w:cs="Times New Roman"/>
          <w:sz w:val="24"/>
          <w:szCs w:val="24"/>
        </w:rPr>
        <w:t xml:space="preserve">Centro de Investigaciones Endocrinológicas “Dr. César </w:t>
      </w:r>
      <w:proofErr w:type="spellStart"/>
      <w:r w:rsidR="00401520" w:rsidRPr="004C4862">
        <w:rPr>
          <w:rFonts w:ascii="Times New Roman" w:eastAsia="Times New Roman" w:hAnsi="Times New Roman" w:cs="Times New Roman"/>
          <w:sz w:val="24"/>
          <w:szCs w:val="24"/>
        </w:rPr>
        <w:t>Bergadá</w:t>
      </w:r>
      <w:proofErr w:type="spellEnd"/>
      <w:r w:rsidR="00401520" w:rsidRPr="004C4862">
        <w:rPr>
          <w:rFonts w:ascii="Times New Roman" w:eastAsia="Times New Roman" w:hAnsi="Times New Roman" w:cs="Times New Roman"/>
          <w:sz w:val="24"/>
          <w:szCs w:val="24"/>
        </w:rPr>
        <w:t>”/CEDIE, CONICET-FEI. División Endocrinología, Hospital de Niños “Ricardo Gutié</w:t>
      </w:r>
      <w:r w:rsidR="00507BFC">
        <w:rPr>
          <w:rFonts w:ascii="Times New Roman" w:eastAsia="Times New Roman" w:hAnsi="Times New Roman" w:cs="Times New Roman"/>
          <w:sz w:val="24"/>
          <w:szCs w:val="24"/>
        </w:rPr>
        <w:t>rrez”, Buenos Aires, Argentina</w:t>
      </w:r>
      <w:r w:rsidR="00401520" w:rsidRPr="004C4862">
        <w:rPr>
          <w:rFonts w:ascii="Times New Roman" w:eastAsia="Times New Roman" w:hAnsi="Times New Roman" w:cs="Times New Roman"/>
          <w:sz w:val="24"/>
          <w:szCs w:val="24"/>
        </w:rPr>
        <w:br/>
      </w:r>
    </w:p>
    <w:p w:rsidR="00910F1A" w:rsidRPr="004C4862" w:rsidRDefault="00401520" w:rsidP="004C4862">
      <w:pPr>
        <w:spacing w:after="0" w:line="240" w:lineRule="auto"/>
        <w:jc w:val="both"/>
        <w:rPr>
          <w:rFonts w:ascii="Times New Roman" w:hAnsi="Times New Roman" w:cs="Times New Roman"/>
        </w:rPr>
      </w:pPr>
      <w:r w:rsidRPr="004C4862">
        <w:rPr>
          <w:rStyle w:val="Textoennegrita"/>
          <w:rFonts w:ascii="Times New Roman" w:hAnsi="Times New Roman" w:cs="Times New Roman"/>
        </w:rPr>
        <w:t xml:space="preserve">Objetivos: </w:t>
      </w:r>
      <w:r w:rsidRPr="004C4862">
        <w:rPr>
          <w:rFonts w:ascii="Times New Roman" w:hAnsi="Times New Roman" w:cs="Times New Roman"/>
        </w:rPr>
        <w:t>La transición desde los servicios de pediatría a los de adulto es un momento crítico para aquéllos adolescentes con enfermedades crónicas. En la actualidad, no existe información en relación a la edad y la forma de hacer la transferencia de los pacientes con patología endocrinológica en América Latina. El objetivo de este estudio es evaluar el proceso de transición en Endocrinología en Latino América.</w:t>
      </w:r>
    </w:p>
    <w:p w:rsidR="00910F1A" w:rsidRPr="004C4862" w:rsidRDefault="00401520" w:rsidP="004C4862">
      <w:pPr>
        <w:pStyle w:val="NormalWeb"/>
        <w:spacing w:before="0" w:beforeAutospacing="0" w:after="0" w:afterAutospacing="0"/>
        <w:jc w:val="both"/>
        <w:rPr>
          <w:sz w:val="22"/>
          <w:szCs w:val="22"/>
        </w:rPr>
      </w:pPr>
      <w:r w:rsidRPr="004C4862">
        <w:rPr>
          <w:rStyle w:val="Textoennegrita"/>
          <w:sz w:val="22"/>
          <w:szCs w:val="22"/>
        </w:rPr>
        <w:t xml:space="preserve">Metodología: </w:t>
      </w:r>
      <w:r w:rsidRPr="004C4862">
        <w:rPr>
          <w:sz w:val="22"/>
          <w:szCs w:val="22"/>
        </w:rPr>
        <w:t xml:space="preserve">Se diseño una encuesta para evaluar el proceso de transición. Se aplicó la encuesta a Endocrinólogos Infantiles de diferentes países de Centro y Sudamérica (n=13) asistentes a los congresos SLEP 2015 y 2016. (n=457). </w:t>
      </w:r>
    </w:p>
    <w:p w:rsidR="00910F1A" w:rsidRPr="004C4862" w:rsidRDefault="00401520" w:rsidP="004C4862">
      <w:pPr>
        <w:pStyle w:val="NormalWeb"/>
        <w:spacing w:before="0" w:beforeAutospacing="0" w:after="0" w:afterAutospacing="0"/>
        <w:jc w:val="both"/>
        <w:rPr>
          <w:sz w:val="22"/>
          <w:szCs w:val="22"/>
        </w:rPr>
      </w:pPr>
      <w:r w:rsidRPr="004C4862">
        <w:rPr>
          <w:rStyle w:val="Textoennegrita"/>
          <w:sz w:val="22"/>
          <w:szCs w:val="22"/>
        </w:rPr>
        <w:t xml:space="preserve">Resultados: </w:t>
      </w:r>
      <w:r w:rsidRPr="004C4862">
        <w:rPr>
          <w:sz w:val="22"/>
          <w:szCs w:val="22"/>
        </w:rPr>
        <w:t>Del total de encuestas enviadas (n=457), 194 (42%) fueron contestadas la gran mayoría de las encuestas fueron respondidas por endocrinólogos infantiles (87%) y pediatras (8%). Entre los encuestados 97% reportó realizar transición de sus pacientes a endocrinología de adultos y 3% refería atención de adultos en su práctica clínica. La metodología utilizada para la transferencia a adultos se observa en la Tabla.</w:t>
      </w:r>
    </w:p>
    <w:p w:rsidR="00910F1A" w:rsidRPr="004C4862" w:rsidRDefault="00401520" w:rsidP="004C4862">
      <w:pPr>
        <w:pStyle w:val="NormalWeb"/>
        <w:spacing w:before="0" w:beforeAutospacing="0" w:after="0" w:afterAutospacing="0"/>
        <w:jc w:val="both"/>
        <w:rPr>
          <w:sz w:val="22"/>
          <w:szCs w:val="22"/>
        </w:rPr>
      </w:pPr>
      <w:r w:rsidRPr="004C4862">
        <w:rPr>
          <w:sz w:val="22"/>
          <w:szCs w:val="22"/>
        </w:rPr>
        <w:t>La calidad percibida del proceso de transición fue reportada como mala, regular o buena en 7%, 44% y 38%. El factor más significativo asociado a una buena calidad en la transición fue la presencia de un programa de transición que incluyera una reunión conjunta con el equipo médico de adultos (p&lt;0,05).</w:t>
      </w:r>
    </w:p>
    <w:p w:rsidR="00910F1A" w:rsidRPr="004C4862" w:rsidRDefault="00401520" w:rsidP="004C4862">
      <w:pPr>
        <w:pStyle w:val="NormalWeb"/>
        <w:spacing w:before="0" w:beforeAutospacing="0" w:after="0" w:afterAutospacing="0"/>
        <w:jc w:val="both"/>
        <w:rPr>
          <w:sz w:val="22"/>
          <w:szCs w:val="22"/>
        </w:rPr>
      </w:pPr>
      <w:r w:rsidRPr="004C4862">
        <w:rPr>
          <w:rStyle w:val="Textoennegrita"/>
          <w:sz w:val="22"/>
          <w:szCs w:val="22"/>
        </w:rPr>
        <w:t xml:space="preserve">Conclusión: </w:t>
      </w:r>
      <w:r w:rsidRPr="004C4862">
        <w:rPr>
          <w:sz w:val="22"/>
          <w:szCs w:val="22"/>
        </w:rPr>
        <w:t>Este es el primer estudio que evalúa la transferencia de pacientes pediátricos con patología crónica endocrinológica en Latino América. La transición en la mayoría de los casos, la calidad percibida como deficiente, y es efectuada por medio de una interconsulta o resumen de la historia clínica. Un escaso número de los encuestados reportó presencia de programas de transferencia en su centro. Este estudio podría ser un primer paso para motivar a los sistemas de salud a desarrollar un enfrentamiento más organizado del proceso de transición en endocrinología.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9"/>
        <w:gridCol w:w="1464"/>
        <w:gridCol w:w="1230"/>
        <w:gridCol w:w="1530"/>
        <w:gridCol w:w="1425"/>
      </w:tblGrid>
      <w:tr w:rsidR="00910F1A" w:rsidRPr="004C48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F1A" w:rsidRPr="004C4862" w:rsidRDefault="00910F1A" w:rsidP="004C4862">
            <w:pPr>
              <w:spacing w:after="0" w:line="240" w:lineRule="auto"/>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Interconsulta</w:t>
            </w:r>
          </w:p>
        </w:tc>
        <w:tc>
          <w:tcPr>
            <w:tcW w:w="120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Resumen Completo de Historia Clínica</w:t>
            </w:r>
          </w:p>
        </w:tc>
        <w:tc>
          <w:tcPr>
            <w:tcW w:w="1272"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Programa de Transferencia</w:t>
            </w:r>
          </w:p>
        </w:tc>
        <w:tc>
          <w:tcPr>
            <w:tcW w:w="138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Reunión Conjunta con Equipo de Adultos</w:t>
            </w:r>
          </w:p>
        </w:tc>
      </w:tr>
      <w:tr w:rsidR="00910F1A" w:rsidRPr="004C48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Chile (n: )</w:t>
            </w:r>
          </w:p>
        </w:tc>
        <w:tc>
          <w:tcPr>
            <w:tcW w:w="708"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38% (17/45)</w:t>
            </w:r>
          </w:p>
        </w:tc>
        <w:tc>
          <w:tcPr>
            <w:tcW w:w="120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38% (17/45)</w:t>
            </w:r>
          </w:p>
        </w:tc>
        <w:tc>
          <w:tcPr>
            <w:tcW w:w="1272"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7% (3/45)</w:t>
            </w:r>
          </w:p>
        </w:tc>
        <w:tc>
          <w:tcPr>
            <w:tcW w:w="138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18% (8/45)</w:t>
            </w:r>
          </w:p>
        </w:tc>
      </w:tr>
      <w:tr w:rsidR="00910F1A" w:rsidRPr="004C48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Argentina (n:)</w:t>
            </w:r>
          </w:p>
        </w:tc>
        <w:tc>
          <w:tcPr>
            <w:tcW w:w="708"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11% (9/81)</w:t>
            </w:r>
          </w:p>
        </w:tc>
        <w:tc>
          <w:tcPr>
            <w:tcW w:w="120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49% (40/81)</w:t>
            </w:r>
          </w:p>
        </w:tc>
        <w:tc>
          <w:tcPr>
            <w:tcW w:w="1272"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2% (2/81))</w:t>
            </w:r>
          </w:p>
        </w:tc>
        <w:tc>
          <w:tcPr>
            <w:tcW w:w="138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37% (30/81)</w:t>
            </w:r>
          </w:p>
        </w:tc>
      </w:tr>
      <w:tr w:rsidR="00910F1A" w:rsidRPr="004C48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Brasil (n:)</w:t>
            </w:r>
          </w:p>
        </w:tc>
        <w:tc>
          <w:tcPr>
            <w:tcW w:w="708"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29% (4/14)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29% (4/14)</w:t>
            </w:r>
          </w:p>
        </w:tc>
        <w:tc>
          <w:tcPr>
            <w:tcW w:w="1272"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21% (3/14)</w:t>
            </w:r>
          </w:p>
        </w:tc>
        <w:tc>
          <w:tcPr>
            <w:tcW w:w="138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21% (3/14)</w:t>
            </w:r>
          </w:p>
        </w:tc>
      </w:tr>
      <w:tr w:rsidR="00910F1A" w:rsidRPr="004C48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México (n:)</w:t>
            </w:r>
          </w:p>
        </w:tc>
        <w:tc>
          <w:tcPr>
            <w:tcW w:w="708"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24% (4/17)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65% (11/17)</w:t>
            </w:r>
          </w:p>
        </w:tc>
        <w:tc>
          <w:tcPr>
            <w:tcW w:w="1272"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12% (2/17)</w:t>
            </w:r>
          </w:p>
        </w:tc>
        <w:tc>
          <w:tcPr>
            <w:tcW w:w="138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0% (0/17)</w:t>
            </w:r>
          </w:p>
        </w:tc>
      </w:tr>
      <w:tr w:rsidR="00910F1A" w:rsidRPr="004C48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Otros (n: )</w:t>
            </w:r>
          </w:p>
        </w:tc>
        <w:tc>
          <w:tcPr>
            <w:tcW w:w="708"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44% (14/32)</w:t>
            </w:r>
          </w:p>
        </w:tc>
        <w:tc>
          <w:tcPr>
            <w:tcW w:w="120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44% (14/32)</w:t>
            </w:r>
          </w:p>
        </w:tc>
        <w:tc>
          <w:tcPr>
            <w:tcW w:w="1272"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3% (1/32)</w:t>
            </w:r>
          </w:p>
        </w:tc>
        <w:tc>
          <w:tcPr>
            <w:tcW w:w="138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9% (3/32))</w:t>
            </w:r>
          </w:p>
        </w:tc>
      </w:tr>
      <w:tr w:rsidR="00910F1A" w:rsidRPr="004C48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rPr>
                <w:rStyle w:val="Textoennegrita"/>
              </w:rPr>
              <w:t>Total (n: )</w:t>
            </w:r>
          </w:p>
        </w:tc>
        <w:tc>
          <w:tcPr>
            <w:tcW w:w="708"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25% (48/189)</w:t>
            </w:r>
          </w:p>
        </w:tc>
        <w:tc>
          <w:tcPr>
            <w:tcW w:w="120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46% (86/189)</w:t>
            </w:r>
          </w:p>
        </w:tc>
        <w:tc>
          <w:tcPr>
            <w:tcW w:w="1272"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6% (11/189)</w:t>
            </w:r>
          </w:p>
        </w:tc>
        <w:tc>
          <w:tcPr>
            <w:tcW w:w="1380" w:type="dxa"/>
            <w:tcBorders>
              <w:top w:val="outset" w:sz="6" w:space="0" w:color="auto"/>
              <w:left w:val="outset" w:sz="6" w:space="0" w:color="auto"/>
              <w:bottom w:val="outset" w:sz="6" w:space="0" w:color="auto"/>
              <w:right w:val="outset" w:sz="6" w:space="0" w:color="auto"/>
            </w:tcBorders>
            <w:vAlign w:val="center"/>
            <w:hideMark/>
          </w:tcPr>
          <w:p w:rsidR="00910F1A" w:rsidRPr="004C4862" w:rsidRDefault="00401520" w:rsidP="004C4862">
            <w:pPr>
              <w:pStyle w:val="NormalWeb"/>
              <w:spacing w:before="0" w:beforeAutospacing="0" w:after="0" w:afterAutospacing="0"/>
            </w:pPr>
            <w:r w:rsidRPr="004C4862">
              <w:t>23% (44/189)</w:t>
            </w:r>
          </w:p>
        </w:tc>
      </w:tr>
    </w:tbl>
    <w:p w:rsidR="00401520" w:rsidRPr="004C4862" w:rsidRDefault="00401520" w:rsidP="004C4862">
      <w:pPr>
        <w:spacing w:after="0" w:line="240" w:lineRule="auto"/>
        <w:rPr>
          <w:rFonts w:ascii="Times New Roman" w:eastAsia="Times New Roman" w:hAnsi="Times New Roman" w:cs="Times New Roman"/>
          <w:sz w:val="24"/>
          <w:szCs w:val="24"/>
        </w:rPr>
      </w:pPr>
    </w:p>
    <w:sectPr w:rsidR="00401520" w:rsidRPr="004C4862" w:rsidSect="00910F1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2AFA"/>
    <w:rsid w:val="00060457"/>
    <w:rsid w:val="001D2AFA"/>
    <w:rsid w:val="003023EC"/>
    <w:rsid w:val="0035227C"/>
    <w:rsid w:val="00401520"/>
    <w:rsid w:val="004C4862"/>
    <w:rsid w:val="00507BFC"/>
    <w:rsid w:val="00910F1A"/>
    <w:rsid w:val="00927907"/>
    <w:rsid w:val="00AD35E9"/>
    <w:rsid w:val="00DD22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10F1A"/>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910F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5</cp:revision>
  <cp:lastPrinted>2017-08-24T22:49:00Z</cp:lastPrinted>
  <dcterms:created xsi:type="dcterms:W3CDTF">2017-10-09T17:06:00Z</dcterms:created>
  <dcterms:modified xsi:type="dcterms:W3CDTF">2017-10-09T17:07:00Z</dcterms:modified>
</cp:coreProperties>
</file>