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08" w:rsidRPr="001272D3" w:rsidRDefault="00C432E7" w:rsidP="008E766A">
      <w:pPr>
        <w:spacing w:after="0" w:line="240" w:lineRule="auto"/>
        <w:rPr>
          <w:rFonts w:ascii="Times New Roman" w:eastAsia="Times New Roman" w:hAnsi="Times New Roman" w:cs="Times New Roman"/>
          <w:sz w:val="24"/>
          <w:szCs w:val="24"/>
        </w:rPr>
      </w:pPr>
      <w:r>
        <w:rPr>
          <w:rFonts w:eastAsia="Times New Roman"/>
          <w:b/>
          <w:bCs/>
        </w:rPr>
        <w:t xml:space="preserve">P </w:t>
      </w:r>
      <w:r w:rsidR="004C7714">
        <w:rPr>
          <w:rFonts w:eastAsia="Times New Roman"/>
          <w:b/>
          <w:bCs/>
        </w:rPr>
        <w:t xml:space="preserve"> 1</w:t>
      </w:r>
      <w:r>
        <w:rPr>
          <w:rFonts w:eastAsia="Times New Roman"/>
          <w:b/>
          <w:bCs/>
        </w:rPr>
        <w:t>9</w:t>
      </w:r>
      <w:r w:rsidR="000F7886">
        <w:rPr>
          <w:rFonts w:eastAsia="Times New Roman"/>
          <w:b/>
          <w:bCs/>
        </w:rPr>
        <w:br/>
        <w:t>HIPERANDROGENIA EXTREMA EN LA POSTMENOPAUSIA. REPORTE DE UN CASO</w:t>
      </w:r>
      <w:r w:rsidR="000F7886">
        <w:rPr>
          <w:rFonts w:eastAsia="Times New Roman"/>
        </w:rPr>
        <w:br/>
      </w:r>
      <w:r w:rsidR="008E766A" w:rsidRPr="001272D3">
        <w:rPr>
          <w:rFonts w:ascii="Times New Roman" w:eastAsia="Times New Roman" w:hAnsi="Times New Roman" w:cs="Times New Roman"/>
          <w:sz w:val="24"/>
          <w:szCs w:val="24"/>
        </w:rPr>
        <w:t>Javier Jaramillo Medina</w:t>
      </w:r>
      <w:r w:rsidR="000F7886" w:rsidRPr="001272D3">
        <w:rPr>
          <w:rFonts w:ascii="Times New Roman" w:eastAsia="Times New Roman" w:hAnsi="Times New Roman" w:cs="Times New Roman"/>
          <w:sz w:val="24"/>
          <w:szCs w:val="24"/>
          <w:vertAlign w:val="superscript"/>
        </w:rPr>
        <w:t>1</w:t>
      </w:r>
      <w:r w:rsidR="000F7886" w:rsidRPr="001272D3">
        <w:rPr>
          <w:rFonts w:ascii="Times New Roman" w:eastAsia="Times New Roman" w:hAnsi="Times New Roman" w:cs="Times New Roman"/>
          <w:sz w:val="24"/>
          <w:szCs w:val="24"/>
        </w:rPr>
        <w:t>, Mauricio Cuello Fredes</w:t>
      </w:r>
      <w:r w:rsidR="000F7886" w:rsidRPr="001272D3">
        <w:rPr>
          <w:rFonts w:ascii="Times New Roman" w:eastAsia="Times New Roman" w:hAnsi="Times New Roman" w:cs="Times New Roman"/>
          <w:sz w:val="24"/>
          <w:szCs w:val="24"/>
          <w:vertAlign w:val="superscript"/>
        </w:rPr>
        <w:t>1</w:t>
      </w:r>
      <w:r w:rsidR="008E766A" w:rsidRPr="001272D3">
        <w:rPr>
          <w:rFonts w:ascii="Times New Roman" w:eastAsia="Times New Roman" w:hAnsi="Times New Roman" w:cs="Times New Roman"/>
          <w:sz w:val="24"/>
          <w:szCs w:val="24"/>
        </w:rPr>
        <w:t>, Roger Gejman Enrí</w:t>
      </w:r>
      <w:r w:rsidR="000F7886" w:rsidRPr="001272D3">
        <w:rPr>
          <w:rFonts w:ascii="Times New Roman" w:eastAsia="Times New Roman" w:hAnsi="Times New Roman" w:cs="Times New Roman"/>
          <w:sz w:val="24"/>
          <w:szCs w:val="24"/>
        </w:rPr>
        <w:t>quez</w:t>
      </w:r>
      <w:r w:rsidR="000F7886" w:rsidRPr="001272D3">
        <w:rPr>
          <w:rFonts w:ascii="Times New Roman" w:eastAsia="Times New Roman" w:hAnsi="Times New Roman" w:cs="Times New Roman"/>
          <w:sz w:val="24"/>
          <w:szCs w:val="24"/>
          <w:vertAlign w:val="superscript"/>
        </w:rPr>
        <w:t>1</w:t>
      </w:r>
      <w:r w:rsidR="000F7886" w:rsidRPr="001272D3">
        <w:rPr>
          <w:rFonts w:ascii="Times New Roman" w:eastAsia="Times New Roman" w:hAnsi="Times New Roman" w:cs="Times New Roman"/>
          <w:sz w:val="24"/>
          <w:szCs w:val="24"/>
        </w:rPr>
        <w:t>, A</w:t>
      </w:r>
      <w:r w:rsidR="008E766A" w:rsidRPr="001272D3">
        <w:rPr>
          <w:rFonts w:ascii="Times New Roman" w:eastAsia="Times New Roman" w:hAnsi="Times New Roman" w:cs="Times New Roman"/>
          <w:sz w:val="24"/>
          <w:szCs w:val="24"/>
        </w:rPr>
        <w:t>lejandra Martínez García</w:t>
      </w:r>
      <w:r w:rsidR="000F7886" w:rsidRPr="001272D3">
        <w:rPr>
          <w:rFonts w:ascii="Times New Roman" w:eastAsia="Times New Roman" w:hAnsi="Times New Roman" w:cs="Times New Roman"/>
          <w:sz w:val="24"/>
          <w:szCs w:val="24"/>
          <w:vertAlign w:val="superscript"/>
        </w:rPr>
        <w:t>1</w:t>
      </w:r>
      <w:r w:rsidR="000F7886" w:rsidRPr="001272D3">
        <w:rPr>
          <w:rFonts w:ascii="Times New Roman" w:eastAsia="Times New Roman" w:hAnsi="Times New Roman" w:cs="Times New Roman"/>
          <w:sz w:val="24"/>
          <w:szCs w:val="24"/>
        </w:rPr>
        <w:t>, E</w:t>
      </w:r>
      <w:r w:rsidR="008E766A" w:rsidRPr="001272D3">
        <w:rPr>
          <w:rFonts w:ascii="Times New Roman" w:eastAsia="Times New Roman" w:hAnsi="Times New Roman" w:cs="Times New Roman"/>
          <w:sz w:val="24"/>
          <w:szCs w:val="24"/>
        </w:rPr>
        <w:t>ugenio Arteaga Urzúa</w:t>
      </w:r>
      <w:r w:rsidR="000F7886" w:rsidRPr="001272D3">
        <w:rPr>
          <w:rFonts w:ascii="Times New Roman" w:eastAsia="Times New Roman" w:hAnsi="Times New Roman" w:cs="Times New Roman"/>
          <w:sz w:val="24"/>
          <w:szCs w:val="24"/>
          <w:vertAlign w:val="superscript"/>
        </w:rPr>
        <w:t>1</w:t>
      </w:r>
      <w:r w:rsidR="000F7886" w:rsidRPr="001272D3">
        <w:rPr>
          <w:rFonts w:ascii="Times New Roman" w:eastAsia="Times New Roman" w:hAnsi="Times New Roman" w:cs="Times New Roman"/>
          <w:sz w:val="24"/>
          <w:szCs w:val="24"/>
        </w:rPr>
        <w:br/>
      </w:r>
      <w:r w:rsidR="000F7886" w:rsidRPr="001272D3">
        <w:rPr>
          <w:rFonts w:ascii="Times New Roman" w:eastAsia="Times New Roman" w:hAnsi="Times New Roman" w:cs="Times New Roman"/>
          <w:sz w:val="24"/>
          <w:szCs w:val="24"/>
          <w:vertAlign w:val="superscript"/>
        </w:rPr>
        <w:t>1</w:t>
      </w:r>
      <w:r w:rsidR="000F7886" w:rsidRPr="001272D3">
        <w:rPr>
          <w:rFonts w:ascii="Times New Roman" w:eastAsia="Times New Roman" w:hAnsi="Times New Roman" w:cs="Times New Roman"/>
          <w:sz w:val="24"/>
          <w:szCs w:val="24"/>
        </w:rPr>
        <w:t>Pontificia Universidad Católica de Chile</w:t>
      </w:r>
      <w:r w:rsidR="000F7886" w:rsidRPr="001272D3">
        <w:rPr>
          <w:rFonts w:ascii="Times New Roman" w:eastAsia="Times New Roman" w:hAnsi="Times New Roman" w:cs="Times New Roman"/>
          <w:sz w:val="24"/>
          <w:szCs w:val="24"/>
        </w:rPr>
        <w:br/>
      </w:r>
      <w:r w:rsidR="008E766A" w:rsidRPr="001272D3">
        <w:rPr>
          <w:rFonts w:ascii="Times New Roman" w:eastAsia="Times New Roman" w:hAnsi="Times New Roman" w:cs="Times New Roman"/>
          <w:b/>
          <w:bCs/>
          <w:sz w:val="24"/>
          <w:szCs w:val="24"/>
        </w:rPr>
        <w:t xml:space="preserve"> </w:t>
      </w:r>
    </w:p>
    <w:p w:rsidR="00A62108" w:rsidRDefault="000F7886" w:rsidP="008E766A">
      <w:pPr>
        <w:pStyle w:val="NormalWeb"/>
        <w:spacing w:before="0" w:beforeAutospacing="0" w:after="0" w:afterAutospacing="0"/>
        <w:jc w:val="both"/>
      </w:pPr>
      <w:r>
        <w:rPr>
          <w:rStyle w:val="Textoennegrita"/>
        </w:rPr>
        <w:t>Introducción:</w:t>
      </w:r>
      <w:r w:rsidR="008E766A">
        <w:rPr>
          <w:rStyle w:val="Textoennegrita"/>
        </w:rPr>
        <w:t xml:space="preserve"> </w:t>
      </w:r>
      <w:r>
        <w:t xml:space="preserve">El hiperandrogenismo en la postmenopausia es poco frecuente y habitualmente se asocia a </w:t>
      </w:r>
      <w:proofErr w:type="spellStart"/>
      <w:r>
        <w:t>hipertecosis</w:t>
      </w:r>
      <w:proofErr w:type="spellEnd"/>
      <w:r>
        <w:t xml:space="preserve"> ovárica o a tumores productores de andrógenos. Presentamos un caso de </w:t>
      </w:r>
      <w:proofErr w:type="spellStart"/>
      <w:r>
        <w:t>hiperandrogenemia</w:t>
      </w:r>
      <w:proofErr w:type="spellEnd"/>
      <w:r>
        <w:t xml:space="preserve"> extrema en una mujer peri menopaúsica, su estudio y manejo.</w:t>
      </w:r>
    </w:p>
    <w:p w:rsidR="00A62108" w:rsidRDefault="000F7886" w:rsidP="008E766A">
      <w:pPr>
        <w:pStyle w:val="NormalWeb"/>
        <w:spacing w:before="0" w:beforeAutospacing="0" w:after="0" w:afterAutospacing="0"/>
        <w:jc w:val="both"/>
      </w:pPr>
      <w:r>
        <w:rPr>
          <w:rStyle w:val="Textoennegrita"/>
        </w:rPr>
        <w:t>Caso clínico:</w:t>
      </w:r>
      <w:r>
        <w:t xml:space="preserve"> Mujer, 50 años, portadora de prediabetes e hipotiroidismo en buen control. Usó ACO (EE 35 ug/ </w:t>
      </w:r>
      <w:proofErr w:type="spellStart"/>
      <w:r>
        <w:t>ciproterona</w:t>
      </w:r>
      <w:proofErr w:type="spellEnd"/>
      <w:r>
        <w:t xml:space="preserve"> acetato 2mg) entre los 14 y 49 años. Consulta por exacerbación de hirsutismo basal, de rápida evolución en 8 meses tras suspender ACO. Además reactivación de acné e incremento notorio de libido junto a alopecia androgénica leve y clitoromegalia. En exámenes (Tabla) destaca elevación de testosterona 2 años previos a consulta, que aumentan en el tiempo. Ecografía </w:t>
      </w:r>
      <w:proofErr w:type="spellStart"/>
      <w:r>
        <w:t>transvaginal</w:t>
      </w:r>
      <w:proofErr w:type="spellEnd"/>
      <w:r>
        <w:t xml:space="preserve">: ovarios de forma y aspecto normales. TC abdomen-pelvis: glándulas suprarrenales de morfología y tamaño normal. Anexo izquierdo: lesión quística simple de 14 mm; anexo derecho normal. RM pelvis: masa anexial izquierda de 3 cm, </w:t>
      </w:r>
      <w:proofErr w:type="spellStart"/>
      <w:r>
        <w:t>hipointensa</w:t>
      </w:r>
      <w:proofErr w:type="spellEnd"/>
      <w:r>
        <w:t xml:space="preserve"> en T1, heterogénea en T2, zonas quísticas </w:t>
      </w:r>
      <w:proofErr w:type="spellStart"/>
      <w:r>
        <w:t>hiperintensas</w:t>
      </w:r>
      <w:proofErr w:type="spellEnd"/>
      <w:r>
        <w:t xml:space="preserve"> y áreas de densidad intermedia en T2. Manejo inicial: espironolactona 100 mg/día y </w:t>
      </w:r>
      <w:proofErr w:type="spellStart"/>
      <w:r>
        <w:t>nomegestrol</w:t>
      </w:r>
      <w:proofErr w:type="spellEnd"/>
      <w:r>
        <w:t xml:space="preserve"> 5 mg por 10 días/meses alternos, sin lograr flujo rojo. Se realiza </w:t>
      </w:r>
      <w:proofErr w:type="spellStart"/>
      <w:r>
        <w:t>anexectomía</w:t>
      </w:r>
      <w:proofErr w:type="spellEnd"/>
      <w:r>
        <w:t xml:space="preserve"> izquierda laparoscópica, sin incidentes. Biopsia: ovario de 3,3*2,6*2,4 cm; tumor constituido por nidos de células de citoplasma espumoso, amplio y </w:t>
      </w:r>
      <w:proofErr w:type="spellStart"/>
      <w:r>
        <w:t>eosinófilo</w:t>
      </w:r>
      <w:proofErr w:type="spellEnd"/>
      <w:r>
        <w:t xml:space="preserve"> con núcleos redondeados, levemente </w:t>
      </w:r>
      <w:proofErr w:type="spellStart"/>
      <w:r>
        <w:t>pleomórficos</w:t>
      </w:r>
      <w:proofErr w:type="spellEnd"/>
      <w:r>
        <w:t xml:space="preserve">. Numerosos cristales de </w:t>
      </w:r>
      <w:proofErr w:type="spellStart"/>
      <w:r>
        <w:t>Reinke</w:t>
      </w:r>
      <w:proofErr w:type="spellEnd"/>
      <w:r>
        <w:t xml:space="preserve"> en citoplasma, sin necrosis ni hemorragia. Inmunohistoquímica (+) </w:t>
      </w:r>
      <w:proofErr w:type="spellStart"/>
      <w:r>
        <w:t>Inhibina</w:t>
      </w:r>
      <w:proofErr w:type="spellEnd"/>
      <w:r>
        <w:t xml:space="preserve"> A. Ki67 1%. Biopsia endometrial: fragmentos de tejido escamoso. Conclusión: Tumor de células de Leydig del ovario. Control 4 semanas post </w:t>
      </w:r>
      <w:proofErr w:type="spellStart"/>
      <w:r>
        <w:t>op</w:t>
      </w:r>
      <w:proofErr w:type="spellEnd"/>
      <w:r>
        <w:t xml:space="preserve">; normalización de niveles hormonales (Tabla), excepto </w:t>
      </w:r>
      <w:proofErr w:type="spellStart"/>
      <w:r>
        <w:t>inhibina</w:t>
      </w:r>
      <w:proofErr w:type="spellEnd"/>
      <w:r>
        <w:t xml:space="preserve"> B. Clínicamente, disminución de libido, mayor labilidad emocional, sin bochornos ni síntomas urogenitales.</w:t>
      </w:r>
    </w:p>
    <w:p w:rsidR="00A62108" w:rsidRDefault="000F7886" w:rsidP="008E766A">
      <w:pPr>
        <w:pStyle w:val="NormalWeb"/>
        <w:spacing w:before="0" w:beforeAutospacing="0" w:after="0" w:afterAutospacing="0"/>
        <w:jc w:val="both"/>
      </w:pPr>
      <w:r>
        <w:rPr>
          <w:rStyle w:val="Textoennegrita"/>
        </w:rPr>
        <w:t>Discusión:</w:t>
      </w:r>
      <w:r>
        <w:t xml:space="preserve"> El hiperandrogenismo asociado a virilización en la postmenopausia es raro y debe plantearse un origen tumoral (adrenal u ovárico), asociado a testosterona &gt;150 ng/dL. En el caso descrito, pudo ser excluida etiología suprarrenal (normalidad de test de Nugent, DHEAS, TC suprarrenal), sospechándose causa ovárica, apoyada por hallazgo en RM pélvica. Se trataba de un tumor de células de Leydig, que representa &lt;0,1% de los tumores ováricos. Destaca hiperandrogenismo extremo, normalidad de gonadotropinas y moderada secreción estrogénica, predominando efecto atrófico de los andrógenos sobre endometrio.</w:t>
      </w:r>
    </w:p>
    <w:tbl>
      <w:tblPr>
        <w:tblW w:w="0" w:type="auto"/>
        <w:tblCellSpacing w:w="15" w:type="dxa"/>
        <w:tblCellMar>
          <w:top w:w="15" w:type="dxa"/>
          <w:left w:w="15" w:type="dxa"/>
          <w:bottom w:w="15" w:type="dxa"/>
          <w:right w:w="15" w:type="dxa"/>
        </w:tblCellMar>
        <w:tblLook w:val="04A0"/>
      </w:tblPr>
      <w:tblGrid>
        <w:gridCol w:w="1941"/>
        <w:gridCol w:w="822"/>
        <w:gridCol w:w="1050"/>
        <w:gridCol w:w="822"/>
        <w:gridCol w:w="942"/>
        <w:gridCol w:w="837"/>
      </w:tblGrid>
      <w:tr w:rsidR="00A62108">
        <w:trPr>
          <w:tblCellSpacing w:w="15" w:type="dxa"/>
        </w:trPr>
        <w:tc>
          <w:tcPr>
            <w:tcW w:w="1896" w:type="dxa"/>
            <w:vAlign w:val="center"/>
            <w:hideMark/>
          </w:tcPr>
          <w:p w:rsidR="00A62108" w:rsidRDefault="000F7886" w:rsidP="008E766A">
            <w:pPr>
              <w:pStyle w:val="NormalWeb"/>
              <w:spacing w:before="0" w:beforeAutospacing="0" w:after="0" w:afterAutospacing="0"/>
              <w:rPr>
                <w:sz w:val="16"/>
                <w:szCs w:val="16"/>
              </w:rPr>
            </w:pPr>
            <w:r>
              <w:rPr>
                <w:rStyle w:val="Textoennegrita"/>
                <w:sz w:val="16"/>
                <w:szCs w:val="16"/>
              </w:rPr>
              <w:t>Tabla</w:t>
            </w:r>
          </w:p>
        </w:tc>
        <w:tc>
          <w:tcPr>
            <w:tcW w:w="792" w:type="dxa"/>
            <w:vAlign w:val="center"/>
            <w:hideMark/>
          </w:tcPr>
          <w:p w:rsidR="00A62108" w:rsidRDefault="00A62108" w:rsidP="008E766A">
            <w:pPr>
              <w:spacing w:after="0" w:line="240" w:lineRule="auto"/>
              <w:rPr>
                <w:rFonts w:eastAsia="Times New Roman"/>
                <w:sz w:val="16"/>
                <w:szCs w:val="16"/>
              </w:rPr>
            </w:pPr>
          </w:p>
        </w:tc>
        <w:tc>
          <w:tcPr>
            <w:tcW w:w="1020" w:type="dxa"/>
            <w:vAlign w:val="center"/>
            <w:hideMark/>
          </w:tcPr>
          <w:p w:rsidR="00A62108" w:rsidRDefault="000F7886" w:rsidP="008E766A">
            <w:pPr>
              <w:pStyle w:val="NormalWeb"/>
              <w:spacing w:before="0" w:beforeAutospacing="0" w:after="0" w:afterAutospacing="0"/>
              <w:rPr>
                <w:sz w:val="16"/>
                <w:szCs w:val="16"/>
              </w:rPr>
            </w:pPr>
            <w:proofErr w:type="gramStart"/>
            <w:r>
              <w:rPr>
                <w:sz w:val="16"/>
                <w:szCs w:val="16"/>
              </w:rPr>
              <w:t>ref</w:t>
            </w:r>
            <w:proofErr w:type="gramEnd"/>
            <w:r>
              <w:rPr>
                <w:sz w:val="16"/>
                <w:szCs w:val="16"/>
              </w:rPr>
              <w:t>.</w:t>
            </w:r>
          </w:p>
        </w:tc>
        <w:tc>
          <w:tcPr>
            <w:tcW w:w="792" w:type="dxa"/>
            <w:vAlign w:val="center"/>
            <w:hideMark/>
          </w:tcPr>
          <w:p w:rsidR="00A62108" w:rsidRDefault="000F7886" w:rsidP="008E766A">
            <w:pPr>
              <w:pStyle w:val="NormalWeb"/>
              <w:spacing w:before="0" w:beforeAutospacing="0" w:after="0" w:afterAutospacing="0"/>
              <w:rPr>
                <w:sz w:val="16"/>
                <w:szCs w:val="16"/>
              </w:rPr>
            </w:pPr>
            <w:r>
              <w:rPr>
                <w:sz w:val="16"/>
                <w:szCs w:val="16"/>
              </w:rPr>
              <w:t>dic 14</w:t>
            </w:r>
          </w:p>
        </w:tc>
        <w:tc>
          <w:tcPr>
            <w:tcW w:w="912" w:type="dxa"/>
            <w:vAlign w:val="center"/>
            <w:hideMark/>
          </w:tcPr>
          <w:p w:rsidR="00A62108" w:rsidRDefault="000F7886" w:rsidP="008E766A">
            <w:pPr>
              <w:pStyle w:val="NormalWeb"/>
              <w:spacing w:before="0" w:beforeAutospacing="0" w:after="0" w:afterAutospacing="0"/>
              <w:rPr>
                <w:sz w:val="16"/>
                <w:szCs w:val="16"/>
              </w:rPr>
            </w:pPr>
            <w:r>
              <w:rPr>
                <w:sz w:val="16"/>
                <w:szCs w:val="16"/>
              </w:rPr>
              <w:t>nov 16</w:t>
            </w:r>
          </w:p>
        </w:tc>
        <w:tc>
          <w:tcPr>
            <w:tcW w:w="792" w:type="dxa"/>
            <w:vAlign w:val="center"/>
            <w:hideMark/>
          </w:tcPr>
          <w:p w:rsidR="00A62108" w:rsidRDefault="000F7886" w:rsidP="008E766A">
            <w:pPr>
              <w:pStyle w:val="NormalWeb"/>
              <w:spacing w:before="0" w:beforeAutospacing="0" w:after="0" w:afterAutospacing="0"/>
              <w:rPr>
                <w:sz w:val="16"/>
                <w:szCs w:val="16"/>
              </w:rPr>
            </w:pPr>
            <w:r>
              <w:rPr>
                <w:sz w:val="16"/>
                <w:szCs w:val="16"/>
              </w:rPr>
              <w:t>*jun 17</w:t>
            </w:r>
          </w:p>
        </w:tc>
      </w:tr>
      <w:tr w:rsidR="00A62108">
        <w:trPr>
          <w:tblCellSpacing w:w="15" w:type="dxa"/>
        </w:trPr>
        <w:tc>
          <w:tcPr>
            <w:tcW w:w="1896" w:type="dxa"/>
            <w:vAlign w:val="center"/>
            <w:hideMark/>
          </w:tcPr>
          <w:p w:rsidR="00A62108" w:rsidRDefault="000F7886" w:rsidP="008E766A">
            <w:pPr>
              <w:pStyle w:val="NormalWeb"/>
              <w:spacing w:before="0" w:beforeAutospacing="0" w:after="0" w:afterAutospacing="0"/>
              <w:rPr>
                <w:sz w:val="16"/>
                <w:szCs w:val="16"/>
              </w:rPr>
            </w:pPr>
            <w:r>
              <w:rPr>
                <w:sz w:val="16"/>
                <w:szCs w:val="16"/>
              </w:rPr>
              <w:t xml:space="preserve">Testosterona total </w:t>
            </w:r>
          </w:p>
        </w:tc>
        <w:tc>
          <w:tcPr>
            <w:tcW w:w="792" w:type="dxa"/>
            <w:vAlign w:val="center"/>
            <w:hideMark/>
          </w:tcPr>
          <w:p w:rsidR="00A62108" w:rsidRDefault="000F7886" w:rsidP="008E766A">
            <w:pPr>
              <w:pStyle w:val="NormalWeb"/>
              <w:spacing w:before="0" w:beforeAutospacing="0" w:after="0" w:afterAutospacing="0"/>
              <w:rPr>
                <w:sz w:val="16"/>
                <w:szCs w:val="16"/>
              </w:rPr>
            </w:pPr>
            <w:r>
              <w:rPr>
                <w:sz w:val="16"/>
                <w:szCs w:val="16"/>
              </w:rPr>
              <w:t>ng/dL</w:t>
            </w:r>
          </w:p>
        </w:tc>
        <w:tc>
          <w:tcPr>
            <w:tcW w:w="1020" w:type="dxa"/>
            <w:vAlign w:val="center"/>
            <w:hideMark/>
          </w:tcPr>
          <w:p w:rsidR="00A62108" w:rsidRDefault="000F7886" w:rsidP="008E766A">
            <w:pPr>
              <w:pStyle w:val="NormalWeb"/>
              <w:spacing w:before="0" w:beforeAutospacing="0" w:after="0" w:afterAutospacing="0"/>
              <w:rPr>
                <w:sz w:val="16"/>
                <w:szCs w:val="16"/>
              </w:rPr>
            </w:pPr>
            <w:r>
              <w:rPr>
                <w:sz w:val="16"/>
                <w:szCs w:val="16"/>
              </w:rPr>
              <w:t>2.9-40.8</w:t>
            </w:r>
          </w:p>
        </w:tc>
        <w:tc>
          <w:tcPr>
            <w:tcW w:w="792" w:type="dxa"/>
            <w:vAlign w:val="center"/>
            <w:hideMark/>
          </w:tcPr>
          <w:p w:rsidR="00A62108" w:rsidRDefault="000F7886" w:rsidP="008E766A">
            <w:pPr>
              <w:pStyle w:val="NormalWeb"/>
              <w:spacing w:before="0" w:beforeAutospacing="0" w:after="0" w:afterAutospacing="0"/>
              <w:rPr>
                <w:sz w:val="16"/>
                <w:szCs w:val="16"/>
              </w:rPr>
            </w:pPr>
            <w:r>
              <w:rPr>
                <w:sz w:val="16"/>
                <w:szCs w:val="16"/>
              </w:rPr>
              <w:t>626.7</w:t>
            </w:r>
          </w:p>
        </w:tc>
        <w:tc>
          <w:tcPr>
            <w:tcW w:w="912" w:type="dxa"/>
            <w:vAlign w:val="center"/>
            <w:hideMark/>
          </w:tcPr>
          <w:p w:rsidR="00A62108" w:rsidRDefault="000F7886" w:rsidP="008E766A">
            <w:pPr>
              <w:pStyle w:val="NormalWeb"/>
              <w:spacing w:before="0" w:beforeAutospacing="0" w:after="0" w:afterAutospacing="0"/>
              <w:rPr>
                <w:sz w:val="16"/>
                <w:szCs w:val="16"/>
              </w:rPr>
            </w:pPr>
            <w:r>
              <w:rPr>
                <w:sz w:val="16"/>
                <w:szCs w:val="16"/>
              </w:rPr>
              <w:t>1500</w:t>
            </w:r>
          </w:p>
        </w:tc>
        <w:tc>
          <w:tcPr>
            <w:tcW w:w="792" w:type="dxa"/>
            <w:vAlign w:val="center"/>
            <w:hideMark/>
          </w:tcPr>
          <w:p w:rsidR="00A62108" w:rsidRDefault="000F7886" w:rsidP="008E766A">
            <w:pPr>
              <w:pStyle w:val="NormalWeb"/>
              <w:spacing w:before="0" w:beforeAutospacing="0" w:after="0" w:afterAutospacing="0"/>
              <w:rPr>
                <w:sz w:val="16"/>
                <w:szCs w:val="16"/>
              </w:rPr>
            </w:pPr>
            <w:r>
              <w:rPr>
                <w:sz w:val="16"/>
                <w:szCs w:val="16"/>
              </w:rPr>
              <w:t>7.9</w:t>
            </w:r>
          </w:p>
        </w:tc>
      </w:tr>
      <w:tr w:rsidR="00A62108">
        <w:trPr>
          <w:tblCellSpacing w:w="15" w:type="dxa"/>
        </w:trPr>
        <w:tc>
          <w:tcPr>
            <w:tcW w:w="1896" w:type="dxa"/>
            <w:vAlign w:val="center"/>
            <w:hideMark/>
          </w:tcPr>
          <w:p w:rsidR="00A62108" w:rsidRDefault="000F7886" w:rsidP="008E766A">
            <w:pPr>
              <w:pStyle w:val="NormalWeb"/>
              <w:spacing w:before="0" w:beforeAutospacing="0" w:after="0" w:afterAutospacing="0"/>
              <w:rPr>
                <w:sz w:val="16"/>
                <w:szCs w:val="16"/>
              </w:rPr>
            </w:pPr>
            <w:r>
              <w:rPr>
                <w:sz w:val="16"/>
                <w:szCs w:val="16"/>
              </w:rPr>
              <w:t>SHBG</w:t>
            </w:r>
          </w:p>
        </w:tc>
        <w:tc>
          <w:tcPr>
            <w:tcW w:w="792" w:type="dxa"/>
            <w:vAlign w:val="center"/>
            <w:hideMark/>
          </w:tcPr>
          <w:p w:rsidR="00A62108" w:rsidRDefault="000F7886" w:rsidP="008E766A">
            <w:pPr>
              <w:pStyle w:val="NormalWeb"/>
              <w:spacing w:before="0" w:beforeAutospacing="0" w:after="0" w:afterAutospacing="0"/>
              <w:rPr>
                <w:sz w:val="16"/>
                <w:szCs w:val="16"/>
              </w:rPr>
            </w:pPr>
            <w:proofErr w:type="spellStart"/>
            <w:r>
              <w:rPr>
                <w:sz w:val="16"/>
                <w:szCs w:val="16"/>
              </w:rPr>
              <w:t>nmol</w:t>
            </w:r>
            <w:proofErr w:type="spellEnd"/>
            <w:r>
              <w:rPr>
                <w:sz w:val="16"/>
                <w:szCs w:val="16"/>
              </w:rPr>
              <w:t>/L</w:t>
            </w:r>
          </w:p>
        </w:tc>
        <w:tc>
          <w:tcPr>
            <w:tcW w:w="1020" w:type="dxa"/>
            <w:vAlign w:val="center"/>
            <w:hideMark/>
          </w:tcPr>
          <w:p w:rsidR="00A62108" w:rsidRDefault="000F7886" w:rsidP="008E766A">
            <w:pPr>
              <w:pStyle w:val="NormalWeb"/>
              <w:spacing w:before="0" w:beforeAutospacing="0" w:after="0" w:afterAutospacing="0"/>
              <w:rPr>
                <w:sz w:val="16"/>
                <w:szCs w:val="16"/>
              </w:rPr>
            </w:pPr>
            <w:r>
              <w:rPr>
                <w:sz w:val="16"/>
                <w:szCs w:val="16"/>
              </w:rPr>
              <w:t>17.3-125</w:t>
            </w:r>
          </w:p>
        </w:tc>
        <w:tc>
          <w:tcPr>
            <w:tcW w:w="792" w:type="dxa"/>
            <w:vAlign w:val="center"/>
            <w:hideMark/>
          </w:tcPr>
          <w:p w:rsidR="00A62108" w:rsidRDefault="00A62108" w:rsidP="008E766A">
            <w:pPr>
              <w:spacing w:after="0" w:line="240" w:lineRule="auto"/>
              <w:rPr>
                <w:rFonts w:eastAsia="Times New Roman"/>
                <w:sz w:val="16"/>
                <w:szCs w:val="16"/>
              </w:rPr>
            </w:pPr>
          </w:p>
        </w:tc>
        <w:tc>
          <w:tcPr>
            <w:tcW w:w="912" w:type="dxa"/>
            <w:vAlign w:val="center"/>
            <w:hideMark/>
          </w:tcPr>
          <w:p w:rsidR="00A62108" w:rsidRDefault="000F7886" w:rsidP="008E766A">
            <w:pPr>
              <w:pStyle w:val="NormalWeb"/>
              <w:spacing w:before="0" w:beforeAutospacing="0" w:after="0" w:afterAutospacing="0"/>
              <w:rPr>
                <w:sz w:val="16"/>
                <w:szCs w:val="16"/>
              </w:rPr>
            </w:pPr>
            <w:r>
              <w:rPr>
                <w:sz w:val="16"/>
                <w:szCs w:val="16"/>
              </w:rPr>
              <w:t>42.9</w:t>
            </w:r>
          </w:p>
        </w:tc>
        <w:tc>
          <w:tcPr>
            <w:tcW w:w="792" w:type="dxa"/>
            <w:vAlign w:val="center"/>
            <w:hideMark/>
          </w:tcPr>
          <w:p w:rsidR="00A62108" w:rsidRDefault="000F7886" w:rsidP="008E766A">
            <w:pPr>
              <w:pStyle w:val="NormalWeb"/>
              <w:spacing w:before="0" w:beforeAutospacing="0" w:after="0" w:afterAutospacing="0"/>
              <w:rPr>
                <w:sz w:val="16"/>
                <w:szCs w:val="16"/>
              </w:rPr>
            </w:pPr>
            <w:r>
              <w:rPr>
                <w:sz w:val="16"/>
                <w:szCs w:val="16"/>
              </w:rPr>
              <w:t>58</w:t>
            </w:r>
          </w:p>
        </w:tc>
      </w:tr>
      <w:tr w:rsidR="00A62108">
        <w:trPr>
          <w:tblCellSpacing w:w="15" w:type="dxa"/>
        </w:trPr>
        <w:tc>
          <w:tcPr>
            <w:tcW w:w="1896" w:type="dxa"/>
            <w:vAlign w:val="center"/>
            <w:hideMark/>
          </w:tcPr>
          <w:p w:rsidR="00A62108" w:rsidRDefault="000F7886" w:rsidP="008E766A">
            <w:pPr>
              <w:pStyle w:val="NormalWeb"/>
              <w:spacing w:before="0" w:beforeAutospacing="0" w:after="0" w:afterAutospacing="0"/>
              <w:rPr>
                <w:sz w:val="16"/>
                <w:szCs w:val="16"/>
              </w:rPr>
            </w:pPr>
            <w:r>
              <w:rPr>
                <w:sz w:val="16"/>
                <w:szCs w:val="16"/>
              </w:rPr>
              <w:t>IAL</w:t>
            </w:r>
          </w:p>
        </w:tc>
        <w:tc>
          <w:tcPr>
            <w:tcW w:w="792" w:type="dxa"/>
            <w:vAlign w:val="center"/>
            <w:hideMark/>
          </w:tcPr>
          <w:p w:rsidR="00A62108" w:rsidRDefault="00A62108" w:rsidP="008E766A">
            <w:pPr>
              <w:spacing w:after="0" w:line="240" w:lineRule="auto"/>
              <w:rPr>
                <w:rFonts w:eastAsia="Times New Roman"/>
                <w:sz w:val="16"/>
                <w:szCs w:val="16"/>
              </w:rPr>
            </w:pPr>
          </w:p>
        </w:tc>
        <w:tc>
          <w:tcPr>
            <w:tcW w:w="1020" w:type="dxa"/>
            <w:vAlign w:val="center"/>
            <w:hideMark/>
          </w:tcPr>
          <w:p w:rsidR="00A62108" w:rsidRDefault="000F7886" w:rsidP="008E766A">
            <w:pPr>
              <w:pStyle w:val="NormalWeb"/>
              <w:spacing w:before="0" w:beforeAutospacing="0" w:after="0" w:afterAutospacing="0"/>
              <w:rPr>
                <w:sz w:val="16"/>
                <w:szCs w:val="16"/>
              </w:rPr>
            </w:pPr>
            <w:r>
              <w:rPr>
                <w:sz w:val="16"/>
                <w:szCs w:val="16"/>
              </w:rPr>
              <w:t>&lt;4.5</w:t>
            </w:r>
          </w:p>
        </w:tc>
        <w:tc>
          <w:tcPr>
            <w:tcW w:w="792" w:type="dxa"/>
            <w:vAlign w:val="center"/>
            <w:hideMark/>
          </w:tcPr>
          <w:p w:rsidR="00A62108" w:rsidRDefault="00A62108" w:rsidP="008E766A">
            <w:pPr>
              <w:spacing w:after="0" w:line="240" w:lineRule="auto"/>
              <w:rPr>
                <w:rFonts w:eastAsia="Times New Roman"/>
                <w:sz w:val="16"/>
                <w:szCs w:val="16"/>
              </w:rPr>
            </w:pPr>
          </w:p>
        </w:tc>
        <w:tc>
          <w:tcPr>
            <w:tcW w:w="912" w:type="dxa"/>
            <w:vAlign w:val="center"/>
            <w:hideMark/>
          </w:tcPr>
          <w:p w:rsidR="00A62108" w:rsidRDefault="000F7886" w:rsidP="008E766A">
            <w:pPr>
              <w:pStyle w:val="NormalWeb"/>
              <w:spacing w:before="0" w:beforeAutospacing="0" w:after="0" w:afterAutospacing="0"/>
              <w:rPr>
                <w:sz w:val="16"/>
                <w:szCs w:val="16"/>
              </w:rPr>
            </w:pPr>
            <w:r>
              <w:rPr>
                <w:sz w:val="16"/>
                <w:szCs w:val="16"/>
              </w:rPr>
              <w:t>121.2</w:t>
            </w:r>
          </w:p>
        </w:tc>
        <w:tc>
          <w:tcPr>
            <w:tcW w:w="792" w:type="dxa"/>
            <w:vAlign w:val="center"/>
            <w:hideMark/>
          </w:tcPr>
          <w:p w:rsidR="00A62108" w:rsidRDefault="000F7886" w:rsidP="008E766A">
            <w:pPr>
              <w:pStyle w:val="NormalWeb"/>
              <w:spacing w:before="0" w:beforeAutospacing="0" w:after="0" w:afterAutospacing="0"/>
              <w:rPr>
                <w:sz w:val="16"/>
                <w:szCs w:val="16"/>
              </w:rPr>
            </w:pPr>
            <w:r>
              <w:rPr>
                <w:sz w:val="16"/>
                <w:szCs w:val="16"/>
              </w:rPr>
              <w:t>0.46</w:t>
            </w:r>
          </w:p>
        </w:tc>
      </w:tr>
      <w:tr w:rsidR="00A62108">
        <w:trPr>
          <w:tblCellSpacing w:w="15" w:type="dxa"/>
        </w:trPr>
        <w:tc>
          <w:tcPr>
            <w:tcW w:w="1896" w:type="dxa"/>
            <w:vAlign w:val="center"/>
            <w:hideMark/>
          </w:tcPr>
          <w:p w:rsidR="00A62108" w:rsidRDefault="000F7886" w:rsidP="008E766A">
            <w:pPr>
              <w:pStyle w:val="NormalWeb"/>
              <w:spacing w:before="0" w:beforeAutospacing="0" w:after="0" w:afterAutospacing="0"/>
              <w:rPr>
                <w:sz w:val="16"/>
                <w:szCs w:val="16"/>
              </w:rPr>
            </w:pPr>
            <w:r>
              <w:rPr>
                <w:sz w:val="16"/>
                <w:szCs w:val="16"/>
              </w:rPr>
              <w:t>17OHP basal/post ACTH</w:t>
            </w:r>
          </w:p>
        </w:tc>
        <w:tc>
          <w:tcPr>
            <w:tcW w:w="792" w:type="dxa"/>
            <w:vAlign w:val="center"/>
            <w:hideMark/>
          </w:tcPr>
          <w:p w:rsidR="00A62108" w:rsidRDefault="000F7886" w:rsidP="008E766A">
            <w:pPr>
              <w:pStyle w:val="NormalWeb"/>
              <w:spacing w:before="0" w:beforeAutospacing="0" w:after="0" w:afterAutospacing="0"/>
              <w:rPr>
                <w:sz w:val="16"/>
                <w:szCs w:val="16"/>
              </w:rPr>
            </w:pPr>
            <w:r>
              <w:rPr>
                <w:sz w:val="16"/>
                <w:szCs w:val="16"/>
              </w:rPr>
              <w:t>ng/mL</w:t>
            </w:r>
          </w:p>
        </w:tc>
        <w:tc>
          <w:tcPr>
            <w:tcW w:w="1020" w:type="dxa"/>
            <w:vAlign w:val="center"/>
            <w:hideMark/>
          </w:tcPr>
          <w:p w:rsidR="00A62108" w:rsidRDefault="000F7886" w:rsidP="008E766A">
            <w:pPr>
              <w:pStyle w:val="NormalWeb"/>
              <w:spacing w:before="0" w:beforeAutospacing="0" w:after="0" w:afterAutospacing="0"/>
              <w:rPr>
                <w:sz w:val="16"/>
                <w:szCs w:val="16"/>
              </w:rPr>
            </w:pPr>
            <w:r>
              <w:rPr>
                <w:sz w:val="16"/>
                <w:szCs w:val="16"/>
              </w:rPr>
              <w:t>&lt;0.51</w:t>
            </w:r>
          </w:p>
        </w:tc>
        <w:tc>
          <w:tcPr>
            <w:tcW w:w="792" w:type="dxa"/>
            <w:vAlign w:val="center"/>
            <w:hideMark/>
          </w:tcPr>
          <w:p w:rsidR="00A62108" w:rsidRDefault="00A62108" w:rsidP="008E766A">
            <w:pPr>
              <w:spacing w:after="0" w:line="240" w:lineRule="auto"/>
              <w:rPr>
                <w:rFonts w:eastAsia="Times New Roman"/>
                <w:sz w:val="16"/>
                <w:szCs w:val="16"/>
              </w:rPr>
            </w:pPr>
          </w:p>
        </w:tc>
        <w:tc>
          <w:tcPr>
            <w:tcW w:w="912" w:type="dxa"/>
            <w:vAlign w:val="center"/>
            <w:hideMark/>
          </w:tcPr>
          <w:p w:rsidR="00A62108" w:rsidRDefault="000F7886" w:rsidP="008E766A">
            <w:pPr>
              <w:pStyle w:val="NormalWeb"/>
              <w:spacing w:before="0" w:beforeAutospacing="0" w:after="0" w:afterAutospacing="0"/>
              <w:rPr>
                <w:sz w:val="16"/>
                <w:szCs w:val="16"/>
              </w:rPr>
            </w:pPr>
            <w:r>
              <w:rPr>
                <w:sz w:val="16"/>
                <w:szCs w:val="16"/>
              </w:rPr>
              <w:t>2.83/3.21</w:t>
            </w:r>
          </w:p>
        </w:tc>
        <w:tc>
          <w:tcPr>
            <w:tcW w:w="792" w:type="dxa"/>
            <w:vAlign w:val="center"/>
            <w:hideMark/>
          </w:tcPr>
          <w:p w:rsidR="00A62108" w:rsidRDefault="00A62108" w:rsidP="008E766A">
            <w:pPr>
              <w:spacing w:after="0" w:line="240" w:lineRule="auto"/>
              <w:rPr>
                <w:rFonts w:eastAsia="Times New Roman"/>
                <w:sz w:val="16"/>
                <w:szCs w:val="16"/>
              </w:rPr>
            </w:pPr>
          </w:p>
        </w:tc>
      </w:tr>
      <w:tr w:rsidR="00A62108">
        <w:trPr>
          <w:tblCellSpacing w:w="15" w:type="dxa"/>
        </w:trPr>
        <w:tc>
          <w:tcPr>
            <w:tcW w:w="1896" w:type="dxa"/>
            <w:vAlign w:val="center"/>
            <w:hideMark/>
          </w:tcPr>
          <w:p w:rsidR="00A62108" w:rsidRDefault="000F7886" w:rsidP="008E766A">
            <w:pPr>
              <w:pStyle w:val="NormalWeb"/>
              <w:spacing w:before="0" w:beforeAutospacing="0" w:after="0" w:afterAutospacing="0"/>
              <w:rPr>
                <w:sz w:val="16"/>
                <w:szCs w:val="16"/>
              </w:rPr>
            </w:pPr>
            <w:r>
              <w:rPr>
                <w:sz w:val="16"/>
                <w:szCs w:val="16"/>
              </w:rPr>
              <w:t>FSH</w:t>
            </w:r>
          </w:p>
        </w:tc>
        <w:tc>
          <w:tcPr>
            <w:tcW w:w="792" w:type="dxa"/>
            <w:vAlign w:val="center"/>
            <w:hideMark/>
          </w:tcPr>
          <w:p w:rsidR="00A62108" w:rsidRDefault="000F7886" w:rsidP="008E766A">
            <w:pPr>
              <w:pStyle w:val="NormalWeb"/>
              <w:spacing w:before="0" w:beforeAutospacing="0" w:after="0" w:afterAutospacing="0"/>
              <w:rPr>
                <w:sz w:val="16"/>
                <w:szCs w:val="16"/>
              </w:rPr>
            </w:pPr>
            <w:r>
              <w:rPr>
                <w:sz w:val="16"/>
                <w:szCs w:val="16"/>
              </w:rPr>
              <w:t>mUI/mL</w:t>
            </w:r>
          </w:p>
        </w:tc>
        <w:tc>
          <w:tcPr>
            <w:tcW w:w="1020" w:type="dxa"/>
            <w:vAlign w:val="center"/>
            <w:hideMark/>
          </w:tcPr>
          <w:p w:rsidR="00A62108" w:rsidRDefault="000F7886" w:rsidP="008E766A">
            <w:pPr>
              <w:pStyle w:val="NormalWeb"/>
              <w:spacing w:before="0" w:beforeAutospacing="0" w:after="0" w:afterAutospacing="0"/>
              <w:rPr>
                <w:sz w:val="16"/>
                <w:szCs w:val="16"/>
              </w:rPr>
            </w:pPr>
            <w:r>
              <w:rPr>
                <w:sz w:val="16"/>
                <w:szCs w:val="16"/>
              </w:rPr>
              <w:t>25.8-134.8</w:t>
            </w:r>
          </w:p>
        </w:tc>
        <w:tc>
          <w:tcPr>
            <w:tcW w:w="792" w:type="dxa"/>
            <w:vAlign w:val="center"/>
            <w:hideMark/>
          </w:tcPr>
          <w:p w:rsidR="00A62108" w:rsidRDefault="00A62108" w:rsidP="008E766A">
            <w:pPr>
              <w:spacing w:after="0" w:line="240" w:lineRule="auto"/>
              <w:rPr>
                <w:rFonts w:eastAsia="Times New Roman"/>
                <w:sz w:val="16"/>
                <w:szCs w:val="16"/>
              </w:rPr>
            </w:pPr>
          </w:p>
        </w:tc>
        <w:tc>
          <w:tcPr>
            <w:tcW w:w="912" w:type="dxa"/>
            <w:vAlign w:val="center"/>
            <w:hideMark/>
          </w:tcPr>
          <w:p w:rsidR="00A62108" w:rsidRDefault="000F7886" w:rsidP="008E766A">
            <w:pPr>
              <w:pStyle w:val="NormalWeb"/>
              <w:spacing w:before="0" w:beforeAutospacing="0" w:after="0" w:afterAutospacing="0"/>
              <w:rPr>
                <w:sz w:val="16"/>
                <w:szCs w:val="16"/>
              </w:rPr>
            </w:pPr>
            <w:r>
              <w:rPr>
                <w:sz w:val="16"/>
                <w:szCs w:val="16"/>
              </w:rPr>
              <w:t>9.3</w:t>
            </w:r>
          </w:p>
        </w:tc>
        <w:tc>
          <w:tcPr>
            <w:tcW w:w="792" w:type="dxa"/>
            <w:vAlign w:val="center"/>
            <w:hideMark/>
          </w:tcPr>
          <w:p w:rsidR="00A62108" w:rsidRDefault="000F7886" w:rsidP="008E766A">
            <w:pPr>
              <w:pStyle w:val="NormalWeb"/>
              <w:spacing w:before="0" w:beforeAutospacing="0" w:after="0" w:afterAutospacing="0"/>
              <w:rPr>
                <w:sz w:val="16"/>
                <w:szCs w:val="16"/>
              </w:rPr>
            </w:pPr>
            <w:r>
              <w:rPr>
                <w:sz w:val="16"/>
                <w:szCs w:val="16"/>
              </w:rPr>
              <w:t>29.7</w:t>
            </w:r>
          </w:p>
        </w:tc>
      </w:tr>
      <w:tr w:rsidR="00A62108">
        <w:trPr>
          <w:tblCellSpacing w:w="15" w:type="dxa"/>
        </w:trPr>
        <w:tc>
          <w:tcPr>
            <w:tcW w:w="1896" w:type="dxa"/>
            <w:vAlign w:val="center"/>
            <w:hideMark/>
          </w:tcPr>
          <w:p w:rsidR="00A62108" w:rsidRDefault="000F7886" w:rsidP="008E766A">
            <w:pPr>
              <w:pStyle w:val="NormalWeb"/>
              <w:spacing w:before="0" w:beforeAutospacing="0" w:after="0" w:afterAutospacing="0"/>
              <w:rPr>
                <w:sz w:val="16"/>
                <w:szCs w:val="16"/>
              </w:rPr>
            </w:pPr>
            <w:r>
              <w:rPr>
                <w:sz w:val="16"/>
                <w:szCs w:val="16"/>
              </w:rPr>
              <w:t>LH</w:t>
            </w:r>
          </w:p>
        </w:tc>
        <w:tc>
          <w:tcPr>
            <w:tcW w:w="792" w:type="dxa"/>
            <w:vAlign w:val="center"/>
            <w:hideMark/>
          </w:tcPr>
          <w:p w:rsidR="00A62108" w:rsidRDefault="000F7886" w:rsidP="008E766A">
            <w:pPr>
              <w:pStyle w:val="NormalWeb"/>
              <w:spacing w:before="0" w:beforeAutospacing="0" w:after="0" w:afterAutospacing="0"/>
              <w:rPr>
                <w:sz w:val="16"/>
                <w:szCs w:val="16"/>
              </w:rPr>
            </w:pPr>
            <w:r>
              <w:rPr>
                <w:sz w:val="16"/>
                <w:szCs w:val="16"/>
              </w:rPr>
              <w:t>mUI/mL</w:t>
            </w:r>
          </w:p>
        </w:tc>
        <w:tc>
          <w:tcPr>
            <w:tcW w:w="1020" w:type="dxa"/>
            <w:vAlign w:val="center"/>
            <w:hideMark/>
          </w:tcPr>
          <w:p w:rsidR="00A62108" w:rsidRDefault="000F7886" w:rsidP="008E766A">
            <w:pPr>
              <w:pStyle w:val="NormalWeb"/>
              <w:spacing w:before="0" w:beforeAutospacing="0" w:after="0" w:afterAutospacing="0"/>
              <w:rPr>
                <w:sz w:val="16"/>
                <w:szCs w:val="16"/>
              </w:rPr>
            </w:pPr>
            <w:r>
              <w:rPr>
                <w:sz w:val="16"/>
                <w:szCs w:val="16"/>
              </w:rPr>
              <w:t>7.7-58.5</w:t>
            </w:r>
          </w:p>
        </w:tc>
        <w:tc>
          <w:tcPr>
            <w:tcW w:w="792" w:type="dxa"/>
            <w:vAlign w:val="center"/>
            <w:hideMark/>
          </w:tcPr>
          <w:p w:rsidR="00A62108" w:rsidRDefault="00A62108" w:rsidP="008E766A">
            <w:pPr>
              <w:spacing w:after="0" w:line="240" w:lineRule="auto"/>
              <w:rPr>
                <w:rFonts w:eastAsia="Times New Roman"/>
                <w:sz w:val="16"/>
                <w:szCs w:val="16"/>
              </w:rPr>
            </w:pPr>
          </w:p>
        </w:tc>
        <w:tc>
          <w:tcPr>
            <w:tcW w:w="912" w:type="dxa"/>
            <w:vAlign w:val="center"/>
            <w:hideMark/>
          </w:tcPr>
          <w:p w:rsidR="00A62108" w:rsidRDefault="000F7886" w:rsidP="008E766A">
            <w:pPr>
              <w:pStyle w:val="NormalWeb"/>
              <w:spacing w:before="0" w:beforeAutospacing="0" w:after="0" w:afterAutospacing="0"/>
              <w:rPr>
                <w:sz w:val="16"/>
                <w:szCs w:val="16"/>
              </w:rPr>
            </w:pPr>
            <w:r>
              <w:rPr>
                <w:sz w:val="16"/>
                <w:szCs w:val="16"/>
              </w:rPr>
              <w:t>7.5</w:t>
            </w:r>
          </w:p>
        </w:tc>
        <w:tc>
          <w:tcPr>
            <w:tcW w:w="792" w:type="dxa"/>
            <w:vAlign w:val="center"/>
            <w:hideMark/>
          </w:tcPr>
          <w:p w:rsidR="00A62108" w:rsidRDefault="000F7886" w:rsidP="008E766A">
            <w:pPr>
              <w:pStyle w:val="NormalWeb"/>
              <w:spacing w:before="0" w:beforeAutospacing="0" w:after="0" w:afterAutospacing="0"/>
              <w:rPr>
                <w:sz w:val="16"/>
                <w:szCs w:val="16"/>
              </w:rPr>
            </w:pPr>
            <w:r>
              <w:rPr>
                <w:sz w:val="16"/>
                <w:szCs w:val="16"/>
              </w:rPr>
              <w:t>19.9</w:t>
            </w:r>
          </w:p>
        </w:tc>
      </w:tr>
      <w:tr w:rsidR="00A62108">
        <w:trPr>
          <w:tblCellSpacing w:w="15" w:type="dxa"/>
        </w:trPr>
        <w:tc>
          <w:tcPr>
            <w:tcW w:w="1896" w:type="dxa"/>
            <w:vAlign w:val="center"/>
            <w:hideMark/>
          </w:tcPr>
          <w:p w:rsidR="00A62108" w:rsidRDefault="000F7886" w:rsidP="008E766A">
            <w:pPr>
              <w:pStyle w:val="NormalWeb"/>
              <w:spacing w:before="0" w:beforeAutospacing="0" w:after="0" w:afterAutospacing="0"/>
              <w:rPr>
                <w:sz w:val="16"/>
                <w:szCs w:val="16"/>
              </w:rPr>
            </w:pPr>
            <w:r>
              <w:rPr>
                <w:sz w:val="16"/>
                <w:szCs w:val="16"/>
              </w:rPr>
              <w:t>E2</w:t>
            </w:r>
          </w:p>
        </w:tc>
        <w:tc>
          <w:tcPr>
            <w:tcW w:w="792" w:type="dxa"/>
            <w:vAlign w:val="center"/>
            <w:hideMark/>
          </w:tcPr>
          <w:p w:rsidR="00A62108" w:rsidRDefault="000F7886" w:rsidP="008E766A">
            <w:pPr>
              <w:pStyle w:val="NormalWeb"/>
              <w:spacing w:before="0" w:beforeAutospacing="0" w:after="0" w:afterAutospacing="0"/>
              <w:rPr>
                <w:sz w:val="16"/>
                <w:szCs w:val="16"/>
              </w:rPr>
            </w:pPr>
            <w:r>
              <w:rPr>
                <w:sz w:val="16"/>
                <w:szCs w:val="16"/>
              </w:rPr>
              <w:t>pg/mL</w:t>
            </w:r>
          </w:p>
        </w:tc>
        <w:tc>
          <w:tcPr>
            <w:tcW w:w="1020" w:type="dxa"/>
            <w:vAlign w:val="center"/>
            <w:hideMark/>
          </w:tcPr>
          <w:p w:rsidR="00A62108" w:rsidRDefault="000F7886" w:rsidP="008E766A">
            <w:pPr>
              <w:pStyle w:val="NormalWeb"/>
              <w:spacing w:before="0" w:beforeAutospacing="0" w:after="0" w:afterAutospacing="0"/>
              <w:rPr>
                <w:sz w:val="16"/>
                <w:szCs w:val="16"/>
              </w:rPr>
            </w:pPr>
            <w:r>
              <w:rPr>
                <w:sz w:val="16"/>
                <w:szCs w:val="16"/>
              </w:rPr>
              <w:t>&lt;138</w:t>
            </w:r>
          </w:p>
        </w:tc>
        <w:tc>
          <w:tcPr>
            <w:tcW w:w="792" w:type="dxa"/>
            <w:vAlign w:val="center"/>
            <w:hideMark/>
          </w:tcPr>
          <w:p w:rsidR="00A62108" w:rsidRDefault="00A62108" w:rsidP="008E766A">
            <w:pPr>
              <w:spacing w:after="0" w:line="240" w:lineRule="auto"/>
              <w:rPr>
                <w:rFonts w:eastAsia="Times New Roman"/>
                <w:sz w:val="16"/>
                <w:szCs w:val="16"/>
              </w:rPr>
            </w:pPr>
          </w:p>
        </w:tc>
        <w:tc>
          <w:tcPr>
            <w:tcW w:w="912" w:type="dxa"/>
            <w:vAlign w:val="center"/>
            <w:hideMark/>
          </w:tcPr>
          <w:p w:rsidR="00A62108" w:rsidRDefault="000F7886" w:rsidP="008E766A">
            <w:pPr>
              <w:pStyle w:val="NormalWeb"/>
              <w:spacing w:before="0" w:beforeAutospacing="0" w:after="0" w:afterAutospacing="0"/>
              <w:rPr>
                <w:sz w:val="16"/>
                <w:szCs w:val="16"/>
              </w:rPr>
            </w:pPr>
            <w:r>
              <w:rPr>
                <w:sz w:val="16"/>
                <w:szCs w:val="16"/>
              </w:rPr>
              <w:t>42.7</w:t>
            </w:r>
          </w:p>
        </w:tc>
        <w:tc>
          <w:tcPr>
            <w:tcW w:w="792" w:type="dxa"/>
            <w:vAlign w:val="center"/>
            <w:hideMark/>
          </w:tcPr>
          <w:p w:rsidR="00A62108" w:rsidRDefault="000F7886" w:rsidP="008E766A">
            <w:pPr>
              <w:pStyle w:val="NormalWeb"/>
              <w:spacing w:before="0" w:beforeAutospacing="0" w:after="0" w:afterAutospacing="0"/>
              <w:rPr>
                <w:sz w:val="16"/>
                <w:szCs w:val="16"/>
              </w:rPr>
            </w:pPr>
            <w:r>
              <w:rPr>
                <w:sz w:val="16"/>
                <w:szCs w:val="16"/>
              </w:rPr>
              <w:t>&lt;5</w:t>
            </w:r>
          </w:p>
        </w:tc>
      </w:tr>
      <w:tr w:rsidR="00A62108">
        <w:trPr>
          <w:tblCellSpacing w:w="15" w:type="dxa"/>
        </w:trPr>
        <w:tc>
          <w:tcPr>
            <w:tcW w:w="1896" w:type="dxa"/>
            <w:vAlign w:val="center"/>
            <w:hideMark/>
          </w:tcPr>
          <w:p w:rsidR="00A62108" w:rsidRDefault="000F7886" w:rsidP="008E766A">
            <w:pPr>
              <w:pStyle w:val="NormalWeb"/>
              <w:spacing w:before="0" w:beforeAutospacing="0" w:after="0" w:afterAutospacing="0"/>
              <w:rPr>
                <w:sz w:val="16"/>
                <w:szCs w:val="16"/>
              </w:rPr>
            </w:pPr>
            <w:r>
              <w:rPr>
                <w:sz w:val="16"/>
                <w:szCs w:val="16"/>
              </w:rPr>
              <w:t>DHEAS</w:t>
            </w:r>
          </w:p>
        </w:tc>
        <w:tc>
          <w:tcPr>
            <w:tcW w:w="792" w:type="dxa"/>
            <w:vAlign w:val="center"/>
            <w:hideMark/>
          </w:tcPr>
          <w:p w:rsidR="00A62108" w:rsidRDefault="000F7886" w:rsidP="008E766A">
            <w:pPr>
              <w:pStyle w:val="NormalWeb"/>
              <w:spacing w:before="0" w:beforeAutospacing="0" w:after="0" w:afterAutospacing="0"/>
              <w:rPr>
                <w:sz w:val="16"/>
                <w:szCs w:val="16"/>
              </w:rPr>
            </w:pPr>
            <w:r>
              <w:rPr>
                <w:sz w:val="16"/>
                <w:szCs w:val="16"/>
              </w:rPr>
              <w:t>ug/mL</w:t>
            </w:r>
          </w:p>
        </w:tc>
        <w:tc>
          <w:tcPr>
            <w:tcW w:w="1020" w:type="dxa"/>
            <w:vAlign w:val="center"/>
            <w:hideMark/>
          </w:tcPr>
          <w:p w:rsidR="00A62108" w:rsidRDefault="000F7886" w:rsidP="008E766A">
            <w:pPr>
              <w:pStyle w:val="NormalWeb"/>
              <w:spacing w:before="0" w:beforeAutospacing="0" w:after="0" w:afterAutospacing="0"/>
              <w:rPr>
                <w:sz w:val="16"/>
                <w:szCs w:val="16"/>
              </w:rPr>
            </w:pPr>
            <w:r>
              <w:rPr>
                <w:sz w:val="16"/>
                <w:szCs w:val="16"/>
              </w:rPr>
              <w:t>0.35-4.3</w:t>
            </w:r>
          </w:p>
        </w:tc>
        <w:tc>
          <w:tcPr>
            <w:tcW w:w="792" w:type="dxa"/>
            <w:vAlign w:val="center"/>
            <w:hideMark/>
          </w:tcPr>
          <w:p w:rsidR="00A62108" w:rsidRDefault="000F7886" w:rsidP="008E766A">
            <w:pPr>
              <w:pStyle w:val="NormalWeb"/>
              <w:spacing w:before="0" w:beforeAutospacing="0" w:after="0" w:afterAutospacing="0"/>
              <w:rPr>
                <w:sz w:val="16"/>
                <w:szCs w:val="16"/>
              </w:rPr>
            </w:pPr>
            <w:r>
              <w:rPr>
                <w:sz w:val="16"/>
                <w:szCs w:val="16"/>
              </w:rPr>
              <w:t>2.31</w:t>
            </w:r>
          </w:p>
        </w:tc>
        <w:tc>
          <w:tcPr>
            <w:tcW w:w="912" w:type="dxa"/>
            <w:vAlign w:val="center"/>
            <w:hideMark/>
          </w:tcPr>
          <w:p w:rsidR="00A62108" w:rsidRDefault="000F7886" w:rsidP="008E766A">
            <w:pPr>
              <w:pStyle w:val="NormalWeb"/>
              <w:spacing w:before="0" w:beforeAutospacing="0" w:after="0" w:afterAutospacing="0"/>
              <w:rPr>
                <w:sz w:val="16"/>
                <w:szCs w:val="16"/>
              </w:rPr>
            </w:pPr>
            <w:r>
              <w:rPr>
                <w:sz w:val="16"/>
                <w:szCs w:val="16"/>
              </w:rPr>
              <w:t>3.16</w:t>
            </w:r>
          </w:p>
        </w:tc>
        <w:tc>
          <w:tcPr>
            <w:tcW w:w="792" w:type="dxa"/>
            <w:vAlign w:val="center"/>
            <w:hideMark/>
          </w:tcPr>
          <w:p w:rsidR="00A62108" w:rsidRDefault="000F7886" w:rsidP="008E766A">
            <w:pPr>
              <w:pStyle w:val="NormalWeb"/>
              <w:spacing w:before="0" w:beforeAutospacing="0" w:after="0" w:afterAutospacing="0"/>
              <w:rPr>
                <w:sz w:val="16"/>
                <w:szCs w:val="16"/>
              </w:rPr>
            </w:pPr>
            <w:r>
              <w:rPr>
                <w:sz w:val="16"/>
                <w:szCs w:val="16"/>
              </w:rPr>
              <w:t>1.08</w:t>
            </w:r>
          </w:p>
        </w:tc>
      </w:tr>
      <w:tr w:rsidR="00A62108">
        <w:trPr>
          <w:tblCellSpacing w:w="15" w:type="dxa"/>
        </w:trPr>
        <w:tc>
          <w:tcPr>
            <w:tcW w:w="1896" w:type="dxa"/>
            <w:vAlign w:val="center"/>
            <w:hideMark/>
          </w:tcPr>
          <w:p w:rsidR="00A62108" w:rsidRDefault="000F7886" w:rsidP="008E766A">
            <w:pPr>
              <w:pStyle w:val="NormalWeb"/>
              <w:spacing w:before="0" w:beforeAutospacing="0" w:after="0" w:afterAutospacing="0"/>
              <w:rPr>
                <w:sz w:val="16"/>
                <w:szCs w:val="16"/>
              </w:rPr>
            </w:pPr>
            <w:proofErr w:type="spellStart"/>
            <w:r>
              <w:rPr>
                <w:sz w:val="16"/>
                <w:szCs w:val="16"/>
              </w:rPr>
              <w:t>Inhibina</w:t>
            </w:r>
            <w:proofErr w:type="spellEnd"/>
            <w:r>
              <w:rPr>
                <w:sz w:val="16"/>
                <w:szCs w:val="16"/>
              </w:rPr>
              <w:t xml:space="preserve"> B</w:t>
            </w:r>
          </w:p>
        </w:tc>
        <w:tc>
          <w:tcPr>
            <w:tcW w:w="792" w:type="dxa"/>
            <w:vAlign w:val="center"/>
            <w:hideMark/>
          </w:tcPr>
          <w:p w:rsidR="00A62108" w:rsidRDefault="000F7886" w:rsidP="008E766A">
            <w:pPr>
              <w:pStyle w:val="NormalWeb"/>
              <w:spacing w:before="0" w:beforeAutospacing="0" w:after="0" w:afterAutospacing="0"/>
              <w:rPr>
                <w:sz w:val="16"/>
                <w:szCs w:val="16"/>
              </w:rPr>
            </w:pPr>
            <w:r>
              <w:rPr>
                <w:sz w:val="16"/>
                <w:szCs w:val="16"/>
              </w:rPr>
              <w:t>pg/mL</w:t>
            </w:r>
          </w:p>
        </w:tc>
        <w:tc>
          <w:tcPr>
            <w:tcW w:w="1020" w:type="dxa"/>
            <w:vAlign w:val="center"/>
            <w:hideMark/>
          </w:tcPr>
          <w:p w:rsidR="00A62108" w:rsidRDefault="000F7886" w:rsidP="008E766A">
            <w:pPr>
              <w:pStyle w:val="NormalWeb"/>
              <w:spacing w:before="0" w:beforeAutospacing="0" w:after="0" w:afterAutospacing="0"/>
              <w:rPr>
                <w:sz w:val="16"/>
                <w:szCs w:val="16"/>
              </w:rPr>
            </w:pPr>
            <w:r>
              <w:rPr>
                <w:sz w:val="16"/>
                <w:szCs w:val="16"/>
              </w:rPr>
              <w:t>&lt;4</w:t>
            </w:r>
          </w:p>
        </w:tc>
        <w:tc>
          <w:tcPr>
            <w:tcW w:w="792" w:type="dxa"/>
            <w:vAlign w:val="center"/>
            <w:hideMark/>
          </w:tcPr>
          <w:p w:rsidR="00A62108" w:rsidRDefault="00A62108" w:rsidP="008E766A">
            <w:pPr>
              <w:spacing w:after="0" w:line="240" w:lineRule="auto"/>
              <w:rPr>
                <w:rFonts w:eastAsia="Times New Roman"/>
                <w:sz w:val="16"/>
                <w:szCs w:val="16"/>
              </w:rPr>
            </w:pPr>
          </w:p>
        </w:tc>
        <w:tc>
          <w:tcPr>
            <w:tcW w:w="912" w:type="dxa"/>
            <w:vAlign w:val="center"/>
            <w:hideMark/>
          </w:tcPr>
          <w:p w:rsidR="00A62108" w:rsidRDefault="000F7886" w:rsidP="008E766A">
            <w:pPr>
              <w:pStyle w:val="NormalWeb"/>
              <w:spacing w:before="0" w:beforeAutospacing="0" w:after="0" w:afterAutospacing="0"/>
              <w:rPr>
                <w:sz w:val="16"/>
                <w:szCs w:val="16"/>
              </w:rPr>
            </w:pPr>
            <w:r>
              <w:rPr>
                <w:sz w:val="16"/>
                <w:szCs w:val="16"/>
              </w:rPr>
              <w:t>9.4</w:t>
            </w:r>
          </w:p>
        </w:tc>
        <w:tc>
          <w:tcPr>
            <w:tcW w:w="792" w:type="dxa"/>
            <w:vAlign w:val="center"/>
            <w:hideMark/>
          </w:tcPr>
          <w:p w:rsidR="00A62108" w:rsidRDefault="000F7886" w:rsidP="008E766A">
            <w:pPr>
              <w:pStyle w:val="NormalWeb"/>
              <w:spacing w:before="0" w:beforeAutospacing="0" w:after="0" w:afterAutospacing="0"/>
              <w:rPr>
                <w:sz w:val="16"/>
                <w:szCs w:val="16"/>
              </w:rPr>
            </w:pPr>
            <w:r>
              <w:rPr>
                <w:sz w:val="16"/>
                <w:szCs w:val="16"/>
              </w:rPr>
              <w:t>6.1</w:t>
            </w:r>
          </w:p>
        </w:tc>
      </w:tr>
      <w:tr w:rsidR="00A62108">
        <w:trPr>
          <w:tblCellSpacing w:w="15" w:type="dxa"/>
        </w:trPr>
        <w:tc>
          <w:tcPr>
            <w:tcW w:w="1896" w:type="dxa"/>
            <w:vAlign w:val="center"/>
            <w:hideMark/>
          </w:tcPr>
          <w:p w:rsidR="00A62108" w:rsidRDefault="000F7886" w:rsidP="008E766A">
            <w:pPr>
              <w:pStyle w:val="NormalWeb"/>
              <w:spacing w:before="0" w:beforeAutospacing="0" w:after="0" w:afterAutospacing="0"/>
              <w:rPr>
                <w:sz w:val="16"/>
                <w:szCs w:val="16"/>
              </w:rPr>
            </w:pPr>
            <w:r>
              <w:rPr>
                <w:sz w:val="16"/>
                <w:szCs w:val="16"/>
              </w:rPr>
              <w:t>Cortisol post 1 mg dexametasona</w:t>
            </w:r>
          </w:p>
        </w:tc>
        <w:tc>
          <w:tcPr>
            <w:tcW w:w="792" w:type="dxa"/>
            <w:vAlign w:val="center"/>
            <w:hideMark/>
          </w:tcPr>
          <w:p w:rsidR="00A62108" w:rsidRDefault="000F7886" w:rsidP="008E766A">
            <w:pPr>
              <w:pStyle w:val="NormalWeb"/>
              <w:spacing w:before="0" w:beforeAutospacing="0" w:after="0" w:afterAutospacing="0"/>
              <w:rPr>
                <w:sz w:val="16"/>
                <w:szCs w:val="16"/>
              </w:rPr>
            </w:pPr>
            <w:r>
              <w:rPr>
                <w:sz w:val="16"/>
                <w:szCs w:val="16"/>
              </w:rPr>
              <w:t>ug/dL</w:t>
            </w:r>
          </w:p>
        </w:tc>
        <w:tc>
          <w:tcPr>
            <w:tcW w:w="1020" w:type="dxa"/>
            <w:vAlign w:val="center"/>
            <w:hideMark/>
          </w:tcPr>
          <w:p w:rsidR="00A62108" w:rsidRDefault="000F7886" w:rsidP="008E766A">
            <w:pPr>
              <w:pStyle w:val="NormalWeb"/>
              <w:spacing w:before="0" w:beforeAutospacing="0" w:after="0" w:afterAutospacing="0"/>
              <w:rPr>
                <w:sz w:val="16"/>
                <w:szCs w:val="16"/>
              </w:rPr>
            </w:pPr>
            <w:r>
              <w:rPr>
                <w:sz w:val="16"/>
                <w:szCs w:val="16"/>
              </w:rPr>
              <w:t>&lt;1.8</w:t>
            </w:r>
          </w:p>
        </w:tc>
        <w:tc>
          <w:tcPr>
            <w:tcW w:w="792" w:type="dxa"/>
            <w:vAlign w:val="center"/>
            <w:hideMark/>
          </w:tcPr>
          <w:p w:rsidR="00A62108" w:rsidRDefault="00A62108" w:rsidP="008E766A">
            <w:pPr>
              <w:spacing w:after="0" w:line="240" w:lineRule="auto"/>
              <w:rPr>
                <w:rFonts w:eastAsia="Times New Roman"/>
                <w:sz w:val="16"/>
                <w:szCs w:val="16"/>
              </w:rPr>
            </w:pPr>
          </w:p>
        </w:tc>
        <w:tc>
          <w:tcPr>
            <w:tcW w:w="912" w:type="dxa"/>
            <w:vAlign w:val="center"/>
            <w:hideMark/>
          </w:tcPr>
          <w:p w:rsidR="00A62108" w:rsidRDefault="000F7886" w:rsidP="008E766A">
            <w:pPr>
              <w:pStyle w:val="NormalWeb"/>
              <w:spacing w:before="0" w:beforeAutospacing="0" w:after="0" w:afterAutospacing="0"/>
              <w:rPr>
                <w:sz w:val="16"/>
                <w:szCs w:val="16"/>
              </w:rPr>
            </w:pPr>
            <w:r>
              <w:rPr>
                <w:sz w:val="16"/>
                <w:szCs w:val="16"/>
              </w:rPr>
              <w:t>0.9</w:t>
            </w:r>
          </w:p>
        </w:tc>
        <w:tc>
          <w:tcPr>
            <w:tcW w:w="792" w:type="dxa"/>
            <w:vAlign w:val="center"/>
            <w:hideMark/>
          </w:tcPr>
          <w:p w:rsidR="00A62108" w:rsidRDefault="00A62108" w:rsidP="008E766A">
            <w:pPr>
              <w:spacing w:after="0" w:line="240" w:lineRule="auto"/>
              <w:rPr>
                <w:rFonts w:eastAsia="Times New Roman"/>
                <w:sz w:val="16"/>
                <w:szCs w:val="16"/>
              </w:rPr>
            </w:pPr>
          </w:p>
        </w:tc>
      </w:tr>
      <w:tr w:rsidR="00A62108">
        <w:trPr>
          <w:tblCellSpacing w:w="15" w:type="dxa"/>
        </w:trPr>
        <w:tc>
          <w:tcPr>
            <w:tcW w:w="1896" w:type="dxa"/>
            <w:vAlign w:val="center"/>
            <w:hideMark/>
          </w:tcPr>
          <w:p w:rsidR="00A62108" w:rsidRDefault="000F7886" w:rsidP="008E766A">
            <w:pPr>
              <w:pStyle w:val="NormalWeb"/>
              <w:spacing w:before="0" w:beforeAutospacing="0" w:after="0" w:afterAutospacing="0"/>
              <w:rPr>
                <w:sz w:val="16"/>
                <w:szCs w:val="16"/>
              </w:rPr>
            </w:pPr>
            <w:r>
              <w:rPr>
                <w:sz w:val="16"/>
                <w:szCs w:val="16"/>
              </w:rPr>
              <w:t>ACTH</w:t>
            </w:r>
          </w:p>
        </w:tc>
        <w:tc>
          <w:tcPr>
            <w:tcW w:w="792" w:type="dxa"/>
            <w:vAlign w:val="center"/>
            <w:hideMark/>
          </w:tcPr>
          <w:p w:rsidR="00A62108" w:rsidRDefault="000F7886" w:rsidP="008E766A">
            <w:pPr>
              <w:pStyle w:val="NormalWeb"/>
              <w:spacing w:before="0" w:beforeAutospacing="0" w:after="0" w:afterAutospacing="0"/>
              <w:rPr>
                <w:sz w:val="16"/>
                <w:szCs w:val="16"/>
              </w:rPr>
            </w:pPr>
            <w:r>
              <w:rPr>
                <w:sz w:val="16"/>
                <w:szCs w:val="16"/>
              </w:rPr>
              <w:t>pg/mL</w:t>
            </w:r>
          </w:p>
        </w:tc>
        <w:tc>
          <w:tcPr>
            <w:tcW w:w="1020" w:type="dxa"/>
            <w:vAlign w:val="center"/>
            <w:hideMark/>
          </w:tcPr>
          <w:p w:rsidR="00A62108" w:rsidRDefault="000F7886" w:rsidP="008E766A">
            <w:pPr>
              <w:pStyle w:val="NormalWeb"/>
              <w:spacing w:before="0" w:beforeAutospacing="0" w:after="0" w:afterAutospacing="0"/>
              <w:rPr>
                <w:sz w:val="16"/>
                <w:szCs w:val="16"/>
              </w:rPr>
            </w:pPr>
            <w:r>
              <w:rPr>
                <w:sz w:val="16"/>
                <w:szCs w:val="16"/>
              </w:rPr>
              <w:t>10.0-60</w:t>
            </w:r>
          </w:p>
        </w:tc>
        <w:tc>
          <w:tcPr>
            <w:tcW w:w="792" w:type="dxa"/>
            <w:vAlign w:val="center"/>
            <w:hideMark/>
          </w:tcPr>
          <w:p w:rsidR="00A62108" w:rsidRDefault="00A62108" w:rsidP="008E766A">
            <w:pPr>
              <w:spacing w:after="0" w:line="240" w:lineRule="auto"/>
              <w:rPr>
                <w:rFonts w:eastAsia="Times New Roman"/>
                <w:sz w:val="16"/>
                <w:szCs w:val="16"/>
              </w:rPr>
            </w:pPr>
          </w:p>
        </w:tc>
        <w:tc>
          <w:tcPr>
            <w:tcW w:w="912" w:type="dxa"/>
            <w:vAlign w:val="center"/>
            <w:hideMark/>
          </w:tcPr>
          <w:p w:rsidR="00A62108" w:rsidRDefault="000F7886" w:rsidP="008E766A">
            <w:pPr>
              <w:pStyle w:val="NormalWeb"/>
              <w:spacing w:before="0" w:beforeAutospacing="0" w:after="0" w:afterAutospacing="0"/>
              <w:rPr>
                <w:sz w:val="16"/>
                <w:szCs w:val="16"/>
              </w:rPr>
            </w:pPr>
            <w:r>
              <w:rPr>
                <w:sz w:val="16"/>
                <w:szCs w:val="16"/>
              </w:rPr>
              <w:t>16</w:t>
            </w:r>
          </w:p>
        </w:tc>
        <w:tc>
          <w:tcPr>
            <w:tcW w:w="792" w:type="dxa"/>
            <w:vAlign w:val="center"/>
            <w:hideMark/>
          </w:tcPr>
          <w:p w:rsidR="00A62108" w:rsidRDefault="00A62108" w:rsidP="008E766A">
            <w:pPr>
              <w:spacing w:after="0" w:line="240" w:lineRule="auto"/>
              <w:rPr>
                <w:rFonts w:eastAsia="Times New Roman"/>
                <w:sz w:val="16"/>
                <w:szCs w:val="16"/>
              </w:rPr>
            </w:pPr>
          </w:p>
        </w:tc>
      </w:tr>
      <w:tr w:rsidR="00A62108">
        <w:trPr>
          <w:tblCellSpacing w:w="15" w:type="dxa"/>
        </w:trPr>
        <w:tc>
          <w:tcPr>
            <w:tcW w:w="1896" w:type="dxa"/>
            <w:vAlign w:val="center"/>
            <w:hideMark/>
          </w:tcPr>
          <w:p w:rsidR="00A62108" w:rsidRDefault="000F7886" w:rsidP="008E766A">
            <w:pPr>
              <w:pStyle w:val="NormalWeb"/>
              <w:spacing w:before="0" w:beforeAutospacing="0" w:after="0" w:afterAutospacing="0"/>
              <w:rPr>
                <w:sz w:val="16"/>
                <w:szCs w:val="16"/>
              </w:rPr>
            </w:pPr>
            <w:r>
              <w:rPr>
                <w:sz w:val="16"/>
                <w:szCs w:val="16"/>
              </w:rPr>
              <w:t>AFP</w:t>
            </w:r>
          </w:p>
        </w:tc>
        <w:tc>
          <w:tcPr>
            <w:tcW w:w="792" w:type="dxa"/>
            <w:vAlign w:val="center"/>
            <w:hideMark/>
          </w:tcPr>
          <w:p w:rsidR="00A62108" w:rsidRDefault="000F7886" w:rsidP="008E766A">
            <w:pPr>
              <w:pStyle w:val="NormalWeb"/>
              <w:spacing w:before="0" w:beforeAutospacing="0" w:after="0" w:afterAutospacing="0"/>
              <w:rPr>
                <w:sz w:val="16"/>
                <w:szCs w:val="16"/>
              </w:rPr>
            </w:pPr>
            <w:r>
              <w:rPr>
                <w:sz w:val="16"/>
                <w:szCs w:val="16"/>
              </w:rPr>
              <w:t>ng/mL</w:t>
            </w:r>
          </w:p>
        </w:tc>
        <w:tc>
          <w:tcPr>
            <w:tcW w:w="1020" w:type="dxa"/>
            <w:vAlign w:val="center"/>
            <w:hideMark/>
          </w:tcPr>
          <w:p w:rsidR="00A62108" w:rsidRDefault="000F7886" w:rsidP="008E766A">
            <w:pPr>
              <w:pStyle w:val="NormalWeb"/>
              <w:spacing w:before="0" w:beforeAutospacing="0" w:after="0" w:afterAutospacing="0"/>
              <w:rPr>
                <w:sz w:val="16"/>
                <w:szCs w:val="16"/>
              </w:rPr>
            </w:pPr>
            <w:r>
              <w:rPr>
                <w:sz w:val="16"/>
                <w:szCs w:val="16"/>
              </w:rPr>
              <w:t>&lt;7</w:t>
            </w:r>
          </w:p>
        </w:tc>
        <w:tc>
          <w:tcPr>
            <w:tcW w:w="792" w:type="dxa"/>
            <w:vAlign w:val="center"/>
            <w:hideMark/>
          </w:tcPr>
          <w:p w:rsidR="00A62108" w:rsidRDefault="00A62108" w:rsidP="008E766A">
            <w:pPr>
              <w:spacing w:after="0" w:line="240" w:lineRule="auto"/>
              <w:rPr>
                <w:rFonts w:eastAsia="Times New Roman"/>
                <w:sz w:val="16"/>
                <w:szCs w:val="16"/>
              </w:rPr>
            </w:pPr>
          </w:p>
        </w:tc>
        <w:tc>
          <w:tcPr>
            <w:tcW w:w="912" w:type="dxa"/>
            <w:vAlign w:val="center"/>
            <w:hideMark/>
          </w:tcPr>
          <w:p w:rsidR="00A62108" w:rsidRDefault="000F7886" w:rsidP="008E766A">
            <w:pPr>
              <w:pStyle w:val="NormalWeb"/>
              <w:spacing w:before="0" w:beforeAutospacing="0" w:after="0" w:afterAutospacing="0"/>
              <w:rPr>
                <w:sz w:val="16"/>
                <w:szCs w:val="16"/>
              </w:rPr>
            </w:pPr>
            <w:r>
              <w:rPr>
                <w:sz w:val="16"/>
                <w:szCs w:val="16"/>
              </w:rPr>
              <w:t>3</w:t>
            </w:r>
          </w:p>
        </w:tc>
        <w:tc>
          <w:tcPr>
            <w:tcW w:w="792" w:type="dxa"/>
            <w:vAlign w:val="center"/>
            <w:hideMark/>
          </w:tcPr>
          <w:p w:rsidR="00A62108" w:rsidRDefault="00A62108" w:rsidP="008E766A">
            <w:pPr>
              <w:spacing w:after="0" w:line="240" w:lineRule="auto"/>
              <w:rPr>
                <w:rFonts w:eastAsia="Times New Roman"/>
                <w:sz w:val="16"/>
                <w:szCs w:val="16"/>
              </w:rPr>
            </w:pPr>
          </w:p>
        </w:tc>
      </w:tr>
      <w:tr w:rsidR="00A62108">
        <w:trPr>
          <w:tblCellSpacing w:w="15" w:type="dxa"/>
        </w:trPr>
        <w:tc>
          <w:tcPr>
            <w:tcW w:w="1896" w:type="dxa"/>
            <w:vAlign w:val="center"/>
            <w:hideMark/>
          </w:tcPr>
          <w:p w:rsidR="00A62108" w:rsidRDefault="000F7886" w:rsidP="008E766A">
            <w:pPr>
              <w:pStyle w:val="NormalWeb"/>
              <w:spacing w:before="0" w:beforeAutospacing="0" w:after="0" w:afterAutospacing="0"/>
              <w:rPr>
                <w:sz w:val="16"/>
                <w:szCs w:val="16"/>
              </w:rPr>
            </w:pPr>
            <w:proofErr w:type="spellStart"/>
            <w:r>
              <w:rPr>
                <w:sz w:val="16"/>
                <w:szCs w:val="16"/>
              </w:rPr>
              <w:t>BhCG</w:t>
            </w:r>
            <w:proofErr w:type="spellEnd"/>
          </w:p>
        </w:tc>
        <w:tc>
          <w:tcPr>
            <w:tcW w:w="792" w:type="dxa"/>
            <w:vAlign w:val="center"/>
            <w:hideMark/>
          </w:tcPr>
          <w:p w:rsidR="00A62108" w:rsidRDefault="000F7886" w:rsidP="008E766A">
            <w:pPr>
              <w:pStyle w:val="NormalWeb"/>
              <w:spacing w:before="0" w:beforeAutospacing="0" w:after="0" w:afterAutospacing="0"/>
              <w:rPr>
                <w:sz w:val="16"/>
                <w:szCs w:val="16"/>
              </w:rPr>
            </w:pPr>
            <w:r>
              <w:rPr>
                <w:sz w:val="16"/>
                <w:szCs w:val="16"/>
              </w:rPr>
              <w:t>mUI/mL</w:t>
            </w:r>
          </w:p>
        </w:tc>
        <w:tc>
          <w:tcPr>
            <w:tcW w:w="1020" w:type="dxa"/>
            <w:vAlign w:val="center"/>
            <w:hideMark/>
          </w:tcPr>
          <w:p w:rsidR="00A62108" w:rsidRDefault="000F7886" w:rsidP="008E766A">
            <w:pPr>
              <w:pStyle w:val="NormalWeb"/>
              <w:spacing w:before="0" w:beforeAutospacing="0" w:after="0" w:afterAutospacing="0"/>
              <w:rPr>
                <w:sz w:val="16"/>
                <w:szCs w:val="16"/>
              </w:rPr>
            </w:pPr>
            <w:r>
              <w:rPr>
                <w:sz w:val="16"/>
                <w:szCs w:val="16"/>
              </w:rPr>
              <w:t>&lt;5</w:t>
            </w:r>
          </w:p>
        </w:tc>
        <w:tc>
          <w:tcPr>
            <w:tcW w:w="792" w:type="dxa"/>
            <w:vAlign w:val="center"/>
            <w:hideMark/>
          </w:tcPr>
          <w:p w:rsidR="00A62108" w:rsidRDefault="00A62108" w:rsidP="008E766A">
            <w:pPr>
              <w:spacing w:after="0" w:line="240" w:lineRule="auto"/>
              <w:rPr>
                <w:rFonts w:eastAsia="Times New Roman"/>
                <w:sz w:val="16"/>
                <w:szCs w:val="16"/>
              </w:rPr>
            </w:pPr>
          </w:p>
        </w:tc>
        <w:tc>
          <w:tcPr>
            <w:tcW w:w="912" w:type="dxa"/>
            <w:vAlign w:val="center"/>
            <w:hideMark/>
          </w:tcPr>
          <w:p w:rsidR="00A62108" w:rsidRDefault="000F7886" w:rsidP="008E766A">
            <w:pPr>
              <w:pStyle w:val="NormalWeb"/>
              <w:spacing w:before="0" w:beforeAutospacing="0" w:after="0" w:afterAutospacing="0"/>
              <w:rPr>
                <w:sz w:val="16"/>
                <w:szCs w:val="16"/>
              </w:rPr>
            </w:pPr>
            <w:r>
              <w:rPr>
                <w:sz w:val="16"/>
                <w:szCs w:val="16"/>
              </w:rPr>
              <w:t>&lt;5</w:t>
            </w:r>
          </w:p>
        </w:tc>
        <w:tc>
          <w:tcPr>
            <w:tcW w:w="792" w:type="dxa"/>
            <w:vAlign w:val="center"/>
            <w:hideMark/>
          </w:tcPr>
          <w:p w:rsidR="00A62108" w:rsidRDefault="00A62108" w:rsidP="008E766A">
            <w:pPr>
              <w:spacing w:after="0" w:line="240" w:lineRule="auto"/>
              <w:rPr>
                <w:rFonts w:eastAsia="Times New Roman"/>
                <w:sz w:val="16"/>
                <w:szCs w:val="16"/>
              </w:rPr>
            </w:pPr>
          </w:p>
        </w:tc>
      </w:tr>
      <w:tr w:rsidR="00A62108">
        <w:trPr>
          <w:tblCellSpacing w:w="15" w:type="dxa"/>
        </w:trPr>
        <w:tc>
          <w:tcPr>
            <w:tcW w:w="6216" w:type="dxa"/>
            <w:gridSpan w:val="6"/>
            <w:vAlign w:val="center"/>
            <w:hideMark/>
          </w:tcPr>
          <w:p w:rsidR="00A62108" w:rsidRDefault="000F7886" w:rsidP="008E766A">
            <w:pPr>
              <w:pStyle w:val="NormalWeb"/>
              <w:spacing w:before="0" w:beforeAutospacing="0" w:after="0" w:afterAutospacing="0"/>
              <w:rPr>
                <w:sz w:val="16"/>
                <w:szCs w:val="16"/>
              </w:rPr>
            </w:pPr>
            <w:r>
              <w:rPr>
                <w:sz w:val="16"/>
                <w:szCs w:val="16"/>
              </w:rPr>
              <w:t xml:space="preserve">* 4 semanas post </w:t>
            </w:r>
            <w:proofErr w:type="spellStart"/>
            <w:r>
              <w:rPr>
                <w:sz w:val="16"/>
                <w:szCs w:val="16"/>
              </w:rPr>
              <w:t>op</w:t>
            </w:r>
            <w:proofErr w:type="spellEnd"/>
          </w:p>
        </w:tc>
      </w:tr>
    </w:tbl>
    <w:p w:rsidR="000F7886" w:rsidRDefault="000F7886" w:rsidP="008E766A">
      <w:pPr>
        <w:spacing w:after="0" w:line="240" w:lineRule="auto"/>
        <w:rPr>
          <w:rFonts w:eastAsia="Times New Roman"/>
        </w:rPr>
      </w:pPr>
      <w:r>
        <w:rPr>
          <w:rFonts w:eastAsia="Times New Roman"/>
        </w:rPr>
        <w:br/>
      </w:r>
      <w:r w:rsidR="008E766A">
        <w:rPr>
          <w:rFonts w:eastAsia="Times New Roman"/>
          <w:b/>
          <w:bCs/>
        </w:rPr>
        <w:t xml:space="preserve"> </w:t>
      </w:r>
    </w:p>
    <w:sectPr w:rsidR="000F7886" w:rsidSect="00A62108">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A5E66"/>
    <w:rsid w:val="000F7886"/>
    <w:rsid w:val="001272D3"/>
    <w:rsid w:val="00347C71"/>
    <w:rsid w:val="003A5E66"/>
    <w:rsid w:val="004C7714"/>
    <w:rsid w:val="008E766A"/>
    <w:rsid w:val="00A62108"/>
    <w:rsid w:val="00C432E7"/>
    <w:rsid w:val="00E718E4"/>
    <w:rsid w:val="00F37C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1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62108"/>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A621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2696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3</cp:revision>
  <dcterms:created xsi:type="dcterms:W3CDTF">2017-10-09T18:37:00Z</dcterms:created>
  <dcterms:modified xsi:type="dcterms:W3CDTF">2017-10-09T18:37:00Z</dcterms:modified>
</cp:coreProperties>
</file>