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9FA" w:rsidRDefault="00015489" w:rsidP="0008661A">
      <w:pPr>
        <w:spacing w:after="0" w:line="240" w:lineRule="auto"/>
      </w:pPr>
      <w:r>
        <w:rPr>
          <w:rFonts w:eastAsia="Times New Roman"/>
          <w:b/>
        </w:rPr>
        <w:t>P 28</w:t>
      </w:r>
      <w:r w:rsidR="00727121">
        <w:rPr>
          <w:rFonts w:eastAsia="Times New Roman"/>
        </w:rPr>
        <w:br/>
      </w:r>
      <w:r w:rsidR="00727121">
        <w:rPr>
          <w:rStyle w:val="Textoennegrita"/>
        </w:rPr>
        <w:t xml:space="preserve">EPILEPSIA DE LARGA DATA: UN CASO DE SÍNDROME DE BARAKAT </w:t>
      </w:r>
    </w:p>
    <w:p w:rsidR="008C39FA" w:rsidRPr="00E07CBC" w:rsidRDefault="00E07CBC" w:rsidP="0008661A">
      <w:pPr>
        <w:pStyle w:val="NormalWeb"/>
        <w:spacing w:before="0" w:beforeAutospacing="0" w:after="0" w:afterAutospacing="0"/>
        <w:rPr>
          <w:vertAlign w:val="superscript"/>
        </w:rPr>
      </w:pPr>
      <w:r>
        <w:t>Anabel Bate F</w:t>
      </w:r>
      <w:r>
        <w:rPr>
          <w:vertAlign w:val="superscript"/>
        </w:rPr>
        <w:t>1</w:t>
      </w:r>
      <w:proofErr w:type="gramStart"/>
      <w:r>
        <w:rPr>
          <w:vertAlign w:val="superscript"/>
        </w:rPr>
        <w:t>,2,3,4</w:t>
      </w:r>
      <w:proofErr w:type="gramEnd"/>
      <w:r>
        <w:t xml:space="preserve">, Alexandra </w:t>
      </w:r>
      <w:proofErr w:type="spellStart"/>
      <w:r>
        <w:t>Volosky</w:t>
      </w:r>
      <w:proofErr w:type="spellEnd"/>
      <w:r>
        <w:t xml:space="preserve"> F</w:t>
      </w:r>
      <w:r>
        <w:rPr>
          <w:vertAlign w:val="superscript"/>
        </w:rPr>
        <w:t>1,3</w:t>
      </w:r>
      <w:r>
        <w:t>, Victoria Novik Assael</w:t>
      </w:r>
      <w:r>
        <w:rPr>
          <w:vertAlign w:val="superscript"/>
        </w:rPr>
        <w:t>3,4</w:t>
      </w:r>
    </w:p>
    <w:p w:rsidR="008C39FA" w:rsidRDefault="00E07CBC" w:rsidP="0008661A">
      <w:pPr>
        <w:pStyle w:val="NormalWeb"/>
        <w:spacing w:before="0" w:beforeAutospacing="0" w:after="0" w:afterAutospacing="0"/>
      </w:pPr>
      <w:r>
        <w:rPr>
          <w:vertAlign w:val="superscript"/>
        </w:rPr>
        <w:t>1</w:t>
      </w:r>
      <w:r w:rsidR="00727121">
        <w:t>Servicio de Medic</w:t>
      </w:r>
      <w:r>
        <w:t xml:space="preserve">ina Hospital Gustavo Fricke </w:t>
      </w:r>
      <w:r>
        <w:rPr>
          <w:vertAlign w:val="superscript"/>
        </w:rPr>
        <w:t>2</w:t>
      </w:r>
      <w:r w:rsidR="00727121">
        <w:t>Departamento de Endocrinología, Servicio de Medici</w:t>
      </w:r>
      <w:r>
        <w:t xml:space="preserve">na, Hospital Gustavo Fricke </w:t>
      </w:r>
      <w:r>
        <w:rPr>
          <w:vertAlign w:val="superscript"/>
        </w:rPr>
        <w:t>3</w:t>
      </w:r>
      <w:r w:rsidR="00727121">
        <w:t>Escuela de Medicina, Facultad de Medicina</w:t>
      </w:r>
      <w:r>
        <w:t xml:space="preserve">, Universidad de Valparaíso </w:t>
      </w:r>
      <w:r>
        <w:rPr>
          <w:vertAlign w:val="superscript"/>
        </w:rPr>
        <w:t>4</w:t>
      </w:r>
      <w:r w:rsidR="00727121">
        <w:t>Carrera de Medicina, Facultad de Medicina, Univer</w:t>
      </w:r>
      <w:r w:rsidR="0008661A">
        <w:t>sidad Andrés Bello Viña del Mar</w:t>
      </w:r>
    </w:p>
    <w:p w:rsidR="0008661A" w:rsidRDefault="0008661A" w:rsidP="0008661A">
      <w:pPr>
        <w:pStyle w:val="NormalWeb"/>
        <w:spacing w:before="0" w:beforeAutospacing="0" w:after="0" w:afterAutospacing="0"/>
      </w:pPr>
    </w:p>
    <w:p w:rsidR="008C39FA" w:rsidRDefault="00727121" w:rsidP="00867ECA">
      <w:pPr>
        <w:pStyle w:val="NormalWeb"/>
        <w:spacing w:before="0" w:beforeAutospacing="0" w:after="0" w:afterAutospacing="0"/>
        <w:jc w:val="both"/>
      </w:pPr>
      <w:r>
        <w:rPr>
          <w:rStyle w:val="Textoennegrita"/>
        </w:rPr>
        <w:t>Introducción</w:t>
      </w:r>
    </w:p>
    <w:p w:rsidR="008C39FA" w:rsidRDefault="00727121" w:rsidP="00867ECA">
      <w:pPr>
        <w:pStyle w:val="NormalWeb"/>
        <w:spacing w:before="0" w:beforeAutospacing="0" w:after="0" w:afterAutospacing="0"/>
        <w:jc w:val="both"/>
      </w:pPr>
      <w:r>
        <w:t xml:space="preserve">El síndrome de </w:t>
      </w:r>
      <w:proofErr w:type="spellStart"/>
      <w:r>
        <w:t>Barakat</w:t>
      </w:r>
      <w:proofErr w:type="spellEnd"/>
      <w:r>
        <w:t xml:space="preserve"> (HDR), también llamado síndrome de hipoparatiroidismo (H), sordera </w:t>
      </w:r>
      <w:proofErr w:type="spellStart"/>
      <w:r>
        <w:t>neurosensorial</w:t>
      </w:r>
      <w:proofErr w:type="spellEnd"/>
      <w:r>
        <w:t xml:space="preserve"> (D) y displasia renal (R), es un desorden congénito extremadamente raro, reportado por primera vez por </w:t>
      </w:r>
      <w:proofErr w:type="spellStart"/>
      <w:r>
        <w:t>Barakat</w:t>
      </w:r>
      <w:proofErr w:type="spellEnd"/>
      <w:r>
        <w:t xml:space="preserve"> et al. 1977.</w:t>
      </w:r>
    </w:p>
    <w:p w:rsidR="008C39FA" w:rsidRDefault="00727121" w:rsidP="00867ECA">
      <w:pPr>
        <w:pStyle w:val="NormalWeb"/>
        <w:spacing w:before="0" w:beforeAutospacing="0" w:after="0" w:afterAutospacing="0"/>
        <w:jc w:val="both"/>
      </w:pPr>
      <w:r>
        <w:t xml:space="preserve">Este síndrome es primariamente causado por una </w:t>
      </w:r>
      <w:proofErr w:type="spellStart"/>
      <w:r>
        <w:t>haploinsuficiencia</w:t>
      </w:r>
      <w:proofErr w:type="spellEnd"/>
      <w:r>
        <w:t xml:space="preserve"> del factor de transcripción GATA3 (</w:t>
      </w:r>
      <w:proofErr w:type="spellStart"/>
      <w:r>
        <w:t>glutamyl</w:t>
      </w:r>
      <w:proofErr w:type="spellEnd"/>
      <w:r>
        <w:t xml:space="preserve"> </w:t>
      </w:r>
      <w:proofErr w:type="spellStart"/>
      <w:r>
        <w:t>aminotransferase</w:t>
      </w:r>
      <w:proofErr w:type="spellEnd"/>
      <w:r>
        <w:t xml:space="preserve"> </w:t>
      </w:r>
      <w:proofErr w:type="spellStart"/>
      <w:r>
        <w:t>subunit</w:t>
      </w:r>
      <w:proofErr w:type="spellEnd"/>
      <w:r>
        <w:t xml:space="preserve"> A), o mutaciones en el gen del mismo nombre, el cual está contenido en el brazo corto del cromosoma 10 involucrado en el desarrollo embrionario de glándulas </w:t>
      </w:r>
      <w:proofErr w:type="spellStart"/>
      <w:r>
        <w:t>paratiroideas</w:t>
      </w:r>
      <w:proofErr w:type="spellEnd"/>
      <w:r>
        <w:t>, riñones, oído, timo y sistema nervioso central, autosómico dominante.</w:t>
      </w:r>
    </w:p>
    <w:p w:rsidR="008C39FA" w:rsidRDefault="00727121" w:rsidP="00867ECA">
      <w:pPr>
        <w:pStyle w:val="NormalWeb"/>
        <w:spacing w:before="0" w:beforeAutospacing="0" w:after="0" w:afterAutospacing="0"/>
        <w:jc w:val="both"/>
      </w:pPr>
      <w:r>
        <w:t>El tratamiento es sintomático y el pronóstico depende del compromiso renal.</w:t>
      </w:r>
    </w:p>
    <w:p w:rsidR="008C39FA" w:rsidRDefault="00727121" w:rsidP="00867ECA">
      <w:pPr>
        <w:pStyle w:val="NormalWeb"/>
        <w:spacing w:before="0" w:beforeAutospacing="0" w:after="0" w:afterAutospacing="0"/>
        <w:jc w:val="both"/>
      </w:pPr>
      <w:r>
        <w:rPr>
          <w:rStyle w:val="Textoennegrita"/>
        </w:rPr>
        <w:t>Caso Clínico</w:t>
      </w:r>
    </w:p>
    <w:p w:rsidR="008C39FA" w:rsidRDefault="00727121" w:rsidP="00867ECA">
      <w:pPr>
        <w:pStyle w:val="NormalWeb"/>
        <w:spacing w:before="0" w:beforeAutospacing="0" w:after="0" w:afterAutospacing="0"/>
        <w:jc w:val="both"/>
      </w:pPr>
      <w:r>
        <w:t xml:space="preserve">Mujer de 36 años de edad con epilepsia en control y tratamiento desde su infancia en neurología e hipoacusia bilateral. Derivada desde el Servicio de Pediatría donde se había diagnosticado hipoparatiroidismo a su hijas de 2 y 6 años en contexto de </w:t>
      </w:r>
      <w:proofErr w:type="spellStart"/>
      <w:r>
        <w:t>Sd.</w:t>
      </w:r>
      <w:proofErr w:type="spellEnd"/>
      <w:r>
        <w:t xml:space="preserve"> Convulsivo con hipocalcemia. Al constatarse la presencia de hipoacusia en las niñas se sospecha HDR y se solicita exámenes a su madre con los que es derivada a endocrinología.</w:t>
      </w:r>
    </w:p>
    <w:p w:rsidR="008C39FA" w:rsidRDefault="00727121" w:rsidP="00867ECA">
      <w:pPr>
        <w:pStyle w:val="NormalWeb"/>
        <w:spacing w:before="0" w:beforeAutospacing="0" w:after="0" w:afterAutospacing="0"/>
        <w:jc w:val="both"/>
      </w:pPr>
      <w:r>
        <w:t>Destaca Calcio 7 mg/dl (VN: 8,5-10,1 mg/dl), Fósforo 6,1 mg/dl (VN: 2-5 mg/dl) con PTH 56 pg/ml (VN</w:t>
      </w:r>
      <w:proofErr w:type="gramStart"/>
      <w:r>
        <w:t>:12</w:t>
      </w:r>
      <w:proofErr w:type="gramEnd"/>
      <w:r>
        <w:t xml:space="preserve">-72 pg/ml). TAC de cerebro mostró calcificaciones de ganglios basales. Se plantea un síndrome de </w:t>
      </w:r>
      <w:proofErr w:type="spellStart"/>
      <w:r>
        <w:t>Barakat</w:t>
      </w:r>
      <w:proofErr w:type="spellEnd"/>
      <w:r>
        <w:t xml:space="preserve"> como posible etiología, completándose la triada diagnóstica al evidenciarse niveles plasmáticos de creatinina elevados con ecografía renal normal. Actualmente con suplementación de Calcio vía oral y Calcitriol con valores normales de Calcio y Fósforo sin nuevas convulsiones.</w:t>
      </w:r>
    </w:p>
    <w:p w:rsidR="008C39FA" w:rsidRDefault="00727121" w:rsidP="00867ECA">
      <w:pPr>
        <w:pStyle w:val="NormalWeb"/>
        <w:spacing w:before="0" w:beforeAutospacing="0" w:after="0" w:afterAutospacing="0"/>
        <w:jc w:val="both"/>
      </w:pPr>
      <w:r>
        <w:t>El hermano de la paciente tiene hipoacusia y sus hijas tendrían enfermedad renal.</w:t>
      </w:r>
    </w:p>
    <w:p w:rsidR="008C39FA" w:rsidRDefault="00727121" w:rsidP="00867ECA">
      <w:pPr>
        <w:pStyle w:val="NormalWeb"/>
        <w:spacing w:before="0" w:beforeAutospacing="0" w:after="0" w:afterAutospacing="0"/>
        <w:jc w:val="both"/>
      </w:pPr>
      <w:r>
        <w:rPr>
          <w:rStyle w:val="Textoennegrita"/>
        </w:rPr>
        <w:t xml:space="preserve">Discusión </w:t>
      </w:r>
    </w:p>
    <w:p w:rsidR="008C39FA" w:rsidRDefault="00727121" w:rsidP="00867ECA">
      <w:pPr>
        <w:pStyle w:val="NormalWeb"/>
        <w:spacing w:before="0" w:beforeAutospacing="0" w:after="0" w:afterAutospacing="0"/>
        <w:jc w:val="both"/>
      </w:pPr>
      <w:r>
        <w:t>El diagnóstico de HDR se basa principalmente en los hallazgos clínicos y la confirmación de laboratorio de la tríada, como en este caso.</w:t>
      </w:r>
    </w:p>
    <w:p w:rsidR="008C39FA" w:rsidRDefault="00727121" w:rsidP="00867ECA">
      <w:pPr>
        <w:pStyle w:val="NormalWeb"/>
        <w:spacing w:before="0" w:beforeAutospacing="0" w:after="0" w:afterAutospacing="0"/>
        <w:jc w:val="both"/>
      </w:pPr>
      <w:r>
        <w:t>Desde que el gen GATA3 fue identificado, se han descrito 50 tipos de mutaciones diferentes en pacientes con HDR. En nuestra paciente aún no ha sido posible la realización del estudio genético para identificar la mutación causal. Tampoco ha sido posible ampliar el estudio al resto de la familia.</w:t>
      </w:r>
    </w:p>
    <w:p w:rsidR="008C39FA" w:rsidRDefault="00727121" w:rsidP="00867ECA">
      <w:pPr>
        <w:pStyle w:val="NormalWeb"/>
        <w:spacing w:before="0" w:beforeAutospacing="0" w:after="0" w:afterAutospacing="0"/>
        <w:jc w:val="both"/>
      </w:pPr>
      <w:r>
        <w:t xml:space="preserve">Nos pareció interesante comunicar este caso, cuyo diagnóstico no fue sospechado hasta que las hijas </w:t>
      </w:r>
      <w:proofErr w:type="spellStart"/>
      <w:r>
        <w:t>hipoacúsicas</w:t>
      </w:r>
      <w:proofErr w:type="spellEnd"/>
      <w:r>
        <w:t xml:space="preserve"> convulsionaron por hipocalcemia.</w:t>
      </w:r>
    </w:p>
    <w:p w:rsidR="00727121" w:rsidRDefault="00727121" w:rsidP="00867ECA">
      <w:pPr>
        <w:pStyle w:val="NormalWeb"/>
        <w:spacing w:before="0" w:beforeAutospacing="0" w:after="0" w:afterAutospacing="0"/>
        <w:jc w:val="both"/>
      </w:pPr>
      <w:r>
        <w:t>Parece importante buscar la tríada en aquellos pacientes con hipoparatiroidismo con el fin de detectar HDR y si se confirma, ampliar el estudio a la familia.</w:t>
      </w:r>
    </w:p>
    <w:sectPr w:rsidR="00727121" w:rsidSect="008C39F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03ADA"/>
    <w:rsid w:val="00015489"/>
    <w:rsid w:val="0008661A"/>
    <w:rsid w:val="0044781E"/>
    <w:rsid w:val="00607BAF"/>
    <w:rsid w:val="00727121"/>
    <w:rsid w:val="00867ECA"/>
    <w:rsid w:val="008C39FA"/>
    <w:rsid w:val="009077A9"/>
    <w:rsid w:val="00D03ADA"/>
    <w:rsid w:val="00E07CB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9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C39FA"/>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8C39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2420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3</cp:revision>
  <cp:lastPrinted>2017-08-24T22:59:00Z</cp:lastPrinted>
  <dcterms:created xsi:type="dcterms:W3CDTF">2017-10-08T20:13:00Z</dcterms:created>
  <dcterms:modified xsi:type="dcterms:W3CDTF">2017-10-08T20:13:00Z</dcterms:modified>
</cp:coreProperties>
</file>