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0E" w:rsidRDefault="007A24CA" w:rsidP="003B7A8E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34</w:t>
      </w:r>
      <w:bookmarkStart w:id="0" w:name="_GoBack"/>
      <w:bookmarkEnd w:id="0"/>
    </w:p>
    <w:p w:rsidR="003B7A8E" w:rsidRDefault="00405FC1" w:rsidP="003B7A8E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PRIMER REPORTE DE CONCENTRACIONES SÉRICAS DEL EPÍMERO C3 DE 25-HIDROXI-VITAMINA D3 EN NIÑOS CHILENOS ENTRE 5 Y 8 AÑOS</w:t>
      </w:r>
    </w:p>
    <w:p w:rsidR="003B7A8E" w:rsidRDefault="00CB4810" w:rsidP="003B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Mónica Arancibia Cabala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Fidel Allende Sanzana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Sandra Solari Gajardo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z w:val="24"/>
          <w:szCs w:val="24"/>
        </w:rPr>
        <w:t>elena Poggi Mayorga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Ivonne D'Apremont Ormeño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Rosario Moore Valdés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Soledad Peredo Guerra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Claudia Trincado Gaelleguillos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z w:val="24"/>
          <w:szCs w:val="24"/>
        </w:rPr>
        <w:t>ernán García Bruce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Daniela Andrade Romeo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Sofía Sifaqui Fernandez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José Tomás Ossa Villalón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7F284F">
        <w:rPr>
          <w:rFonts w:ascii="Times New Roman" w:eastAsia="Times New Roman" w:hAnsi="Times New Roman" w:cs="Times New Roman"/>
          <w:sz w:val="24"/>
          <w:szCs w:val="24"/>
        </w:rPr>
        <w:t>ristián Carvajal Maldonado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7F284F">
        <w:rPr>
          <w:rFonts w:ascii="Times New Roman" w:eastAsia="Times New Roman" w:hAnsi="Times New Roman" w:cs="Times New Roman"/>
          <w:sz w:val="24"/>
          <w:szCs w:val="24"/>
        </w:rPr>
        <w:t>arlos Fardella Bello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7F284F">
        <w:rPr>
          <w:rFonts w:ascii="Times New Roman" w:eastAsia="Times New Roman" w:hAnsi="Times New Roman" w:cs="Times New Roman"/>
          <w:sz w:val="24"/>
          <w:szCs w:val="24"/>
        </w:rPr>
        <w:t>armen Campino Johnson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R</w:t>
      </w:r>
      <w:r w:rsidR="007F284F">
        <w:rPr>
          <w:rFonts w:ascii="Times New Roman" w:eastAsia="Times New Roman" w:hAnsi="Times New Roman" w:cs="Times New Roman"/>
          <w:sz w:val="24"/>
          <w:szCs w:val="24"/>
        </w:rPr>
        <w:t>ené Baudrand Biggs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 xml:space="preserve">, Ximena </w:t>
      </w:r>
      <w:r w:rsidRPr="003B7A8E">
        <w:rPr>
          <w:rFonts w:ascii="Times New Roman" w:eastAsia="Times New Roman" w:hAnsi="Times New Roman" w:cs="Times New Roman"/>
          <w:sz w:val="24"/>
          <w:szCs w:val="24"/>
        </w:rPr>
        <w:t>Sánchez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 xml:space="preserve"> Vivanco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7F284F">
        <w:rPr>
          <w:rFonts w:ascii="Times New Roman" w:eastAsia="Times New Roman" w:hAnsi="Times New Roman" w:cs="Times New Roman"/>
          <w:sz w:val="24"/>
          <w:szCs w:val="24"/>
        </w:rPr>
        <w:t>lejandro Martínez Aguayo</w:t>
      </w:r>
      <w:r w:rsidR="00405FC1"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</w:p>
    <w:p w:rsidR="003B7A8E" w:rsidRDefault="00405FC1" w:rsidP="003B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B7A8E">
        <w:rPr>
          <w:rFonts w:ascii="Times New Roman" w:eastAsia="Times New Roman" w:hAnsi="Times New Roman" w:cs="Times New Roman"/>
          <w:sz w:val="24"/>
          <w:szCs w:val="24"/>
        </w:rPr>
        <w:t xml:space="preserve">Departamento de Laboratorios Clínicos, Facultad de Medicina, Pontificia Universidad Católica de Chile, </w:t>
      </w:r>
      <w:r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B7A8E">
        <w:rPr>
          <w:rFonts w:ascii="Times New Roman" w:eastAsia="Times New Roman" w:hAnsi="Times New Roman" w:cs="Times New Roman"/>
          <w:sz w:val="24"/>
          <w:szCs w:val="24"/>
        </w:rPr>
        <w:t xml:space="preserve">Escuela de Bioquímica, Facultad de Ciencias Biológicas, Pontificia Universidad Católica de Chile, </w:t>
      </w:r>
      <w:r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B7A8E">
        <w:rPr>
          <w:rFonts w:ascii="Times New Roman" w:eastAsia="Times New Roman" w:hAnsi="Times New Roman" w:cs="Times New Roman"/>
          <w:sz w:val="24"/>
          <w:szCs w:val="24"/>
        </w:rPr>
        <w:t xml:space="preserve">Escuela de Medicina, Facultad de Medicina, Pontificia Universidad Católica de Chile, </w:t>
      </w:r>
      <w:r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B7A8E">
        <w:rPr>
          <w:rFonts w:ascii="Times New Roman" w:eastAsia="Times New Roman" w:hAnsi="Times New Roman" w:cs="Times New Roman"/>
          <w:sz w:val="24"/>
          <w:szCs w:val="24"/>
        </w:rPr>
        <w:t>Departamento de Endocrinología, Facultad de Medicina, Pontificia Universidad Católica de Chile,</w:t>
      </w:r>
      <w:r w:rsidR="003B7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A8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3B7A8E">
        <w:rPr>
          <w:rFonts w:ascii="Times New Roman" w:eastAsia="Times New Roman" w:hAnsi="Times New Roman" w:cs="Times New Roman"/>
          <w:sz w:val="24"/>
          <w:szCs w:val="24"/>
        </w:rPr>
        <w:t>División de Pediatría, Facultad de Medicina, Pontificia Universidad Católica de Chile</w:t>
      </w:r>
    </w:p>
    <w:p w:rsidR="00C1531A" w:rsidRPr="003B7A8E" w:rsidRDefault="00C1531A" w:rsidP="003B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31A" w:rsidRPr="003B7A8E" w:rsidRDefault="00405FC1" w:rsidP="003B7A8E">
      <w:pPr>
        <w:pStyle w:val="NormalWeb"/>
        <w:spacing w:before="0" w:beforeAutospacing="0" w:after="0" w:afterAutospacing="0"/>
        <w:jc w:val="both"/>
      </w:pPr>
      <w:r w:rsidRPr="003B7A8E">
        <w:rPr>
          <w:rStyle w:val="Textoennegrita"/>
        </w:rPr>
        <w:t>Introducción:</w:t>
      </w:r>
      <w:r w:rsidRPr="003B7A8E">
        <w:t xml:space="preserve"> El epímero C3 de la vitamina D3 (Epi25OHD</w:t>
      </w:r>
      <w:r w:rsidRPr="003B7A8E">
        <w:rPr>
          <w:vertAlign w:val="subscript"/>
        </w:rPr>
        <w:t>3</w:t>
      </w:r>
      <w:r w:rsidRPr="003B7A8E">
        <w:t>) está presente en población pediátrica y adulta y varía según edad. Aún se desconoce su relevancia clínica y si el porcentaje de EpiD</w:t>
      </w:r>
      <w:r w:rsidRPr="003B7A8E">
        <w:rPr>
          <w:vertAlign w:val="subscript"/>
        </w:rPr>
        <w:t xml:space="preserve">3 </w:t>
      </w:r>
      <w:r w:rsidRPr="003B7A8E">
        <w:t>en relación a 25-hidroxi-Vitamina D3 (25OHD</w:t>
      </w:r>
      <w:r w:rsidRPr="003B7A8E">
        <w:rPr>
          <w:vertAlign w:val="subscript"/>
        </w:rPr>
        <w:t>3</w:t>
      </w:r>
      <w:r w:rsidRPr="003B7A8E">
        <w:t>) se debe tener en cuenta para clasificar el estado de Vitamina D.</w:t>
      </w:r>
    </w:p>
    <w:p w:rsidR="00C1531A" w:rsidRPr="003B7A8E" w:rsidRDefault="00405FC1" w:rsidP="003B7A8E">
      <w:pPr>
        <w:pStyle w:val="NormalWeb"/>
        <w:spacing w:before="0" w:beforeAutospacing="0" w:after="0" w:afterAutospacing="0"/>
        <w:jc w:val="both"/>
      </w:pPr>
      <w:r w:rsidRPr="003B7A8E">
        <w:rPr>
          <w:rStyle w:val="Textoennegrita"/>
        </w:rPr>
        <w:t>Objetivos:</w:t>
      </w:r>
      <w:r w:rsidRPr="003B7A8E">
        <w:t xml:space="preserve"> Medir 25OHD</w:t>
      </w:r>
      <w:r w:rsidRPr="003B7A8E">
        <w:rPr>
          <w:vertAlign w:val="subscript"/>
        </w:rPr>
        <w:t>3</w:t>
      </w:r>
      <w:r w:rsidRPr="003B7A8E">
        <w:t>, 25-hidroxi-Vitamina D</w:t>
      </w:r>
      <w:r w:rsidRPr="003B7A8E">
        <w:rPr>
          <w:vertAlign w:val="subscript"/>
        </w:rPr>
        <w:t>2</w:t>
      </w:r>
      <w:r w:rsidRPr="003B7A8E">
        <w:t xml:space="preserve"> (25OHD</w:t>
      </w:r>
      <w:r w:rsidRPr="003B7A8E">
        <w:rPr>
          <w:vertAlign w:val="subscript"/>
        </w:rPr>
        <w:t>2</w:t>
      </w:r>
      <w:r w:rsidRPr="003B7A8E">
        <w:t>) y Epi25OHD</w:t>
      </w:r>
      <w:r w:rsidRPr="003B7A8E">
        <w:rPr>
          <w:vertAlign w:val="subscript"/>
        </w:rPr>
        <w:t>3</w:t>
      </w:r>
      <w:r w:rsidRPr="003B7A8E">
        <w:t xml:space="preserve"> por LC-MS/MS y ver la relación entre ellos, y con PTH y calcemia.</w:t>
      </w:r>
    </w:p>
    <w:p w:rsidR="00C1531A" w:rsidRPr="003B7A8E" w:rsidRDefault="00405FC1" w:rsidP="003B7A8E">
      <w:pPr>
        <w:pStyle w:val="NormalWeb"/>
        <w:spacing w:before="0" w:beforeAutospacing="0" w:after="0" w:afterAutospacing="0"/>
        <w:jc w:val="both"/>
      </w:pPr>
      <w:r w:rsidRPr="003B7A8E">
        <w:rPr>
          <w:rStyle w:val="Textoennegrita"/>
        </w:rPr>
        <w:t>Diseño experimental:</w:t>
      </w:r>
      <w:r w:rsidRPr="003B7A8E">
        <w:t xml:space="preserve"> Estudio de corte transversal prospectivo.</w:t>
      </w:r>
    </w:p>
    <w:p w:rsidR="00C1531A" w:rsidRPr="003B7A8E" w:rsidRDefault="003B7A8E" w:rsidP="003B7A8E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Sujetos y M</w:t>
      </w:r>
      <w:r w:rsidR="00405FC1" w:rsidRPr="003B7A8E">
        <w:rPr>
          <w:rStyle w:val="Textoennegrita"/>
        </w:rPr>
        <w:t>étodos:</w:t>
      </w:r>
      <w:r w:rsidR="00405FC1" w:rsidRPr="003B7A8E">
        <w:t xml:space="preserve"> Se reclutaron recién nacidos muy prematuros (RNMP; &lt;32 semanas de gestación) y de término (≥38 semanas de gestación) entre 5 y 8 años utilizando los siguientes criterios de exclusión: PEG (peso de recién nacido ≤ -2 DE), embarazo múltiple, enfermedad crónica o aguda y uso de corticoides orales</w:t>
      </w:r>
      <w:r w:rsidR="00405FC1" w:rsidRPr="003B7A8E">
        <w:rPr>
          <w:rStyle w:val="Textoennegrita"/>
        </w:rPr>
        <w:t xml:space="preserve">. </w:t>
      </w:r>
      <w:r w:rsidR="00405FC1" w:rsidRPr="003B7A8E">
        <w:t>Las concentraciones de 25OHD</w:t>
      </w:r>
      <w:r w:rsidR="00405FC1" w:rsidRPr="003B7A8E">
        <w:rPr>
          <w:vertAlign w:val="subscript"/>
        </w:rPr>
        <w:t xml:space="preserve">2, </w:t>
      </w:r>
      <w:r w:rsidR="00405FC1" w:rsidRPr="003B7A8E">
        <w:t>25OHD</w:t>
      </w:r>
      <w:r w:rsidR="00405FC1" w:rsidRPr="003B7A8E">
        <w:rPr>
          <w:vertAlign w:val="subscript"/>
        </w:rPr>
        <w:t>3</w:t>
      </w:r>
      <w:r w:rsidR="00405FC1" w:rsidRPr="003B7A8E">
        <w:t xml:space="preserve"> y Epi25OHD</w:t>
      </w:r>
      <w:r w:rsidR="00405FC1" w:rsidRPr="003B7A8E">
        <w:rPr>
          <w:vertAlign w:val="subscript"/>
        </w:rPr>
        <w:t>3</w:t>
      </w:r>
      <w:r w:rsidR="00405FC1" w:rsidRPr="003B7A8E">
        <w:t xml:space="preserve"> fueron medidas por LC-MS/MS en equipo ABSciex 4500 QTrap (sensibilidad analítica: 25OHD</w:t>
      </w:r>
      <w:r w:rsidR="00405FC1" w:rsidRPr="003B7A8E">
        <w:rPr>
          <w:vertAlign w:val="subscript"/>
        </w:rPr>
        <w:t>2</w:t>
      </w:r>
      <w:r w:rsidR="00405FC1" w:rsidRPr="003B7A8E">
        <w:t>: 1 ng/mL, 25OHD</w:t>
      </w:r>
      <w:r w:rsidR="00405FC1" w:rsidRPr="003B7A8E">
        <w:rPr>
          <w:vertAlign w:val="subscript"/>
        </w:rPr>
        <w:t>3</w:t>
      </w:r>
      <w:r w:rsidR="00405FC1" w:rsidRPr="003B7A8E">
        <w:t xml:space="preserve"> y Epi25OHD</w:t>
      </w:r>
      <w:r w:rsidR="00405FC1" w:rsidRPr="003B7A8E">
        <w:rPr>
          <w:vertAlign w:val="subscript"/>
        </w:rPr>
        <w:t>3</w:t>
      </w:r>
      <w:r w:rsidR="00405FC1" w:rsidRPr="003B7A8E">
        <w:t>: 2 ng/mL). Estado deficiente de 25OHD</w:t>
      </w:r>
      <w:r w:rsidR="00405FC1" w:rsidRPr="003B7A8E">
        <w:rPr>
          <w:vertAlign w:val="subscript"/>
        </w:rPr>
        <w:t xml:space="preserve">3 </w:t>
      </w:r>
      <w:r w:rsidR="00405FC1" w:rsidRPr="003B7A8E">
        <w:t>se definió con &lt;20 ng/mL, insuficiente 20 a 30 ng/mL y como suficiente ≥ 30 ng/mL. Como 25OHD</w:t>
      </w:r>
      <w:r w:rsidR="00405FC1" w:rsidRPr="003B7A8E">
        <w:rPr>
          <w:vertAlign w:val="subscript"/>
        </w:rPr>
        <w:t>3</w:t>
      </w:r>
      <w:r w:rsidR="00405FC1" w:rsidRPr="003B7A8E">
        <w:t xml:space="preserve"> total se consideró la suma de 25OHD</w:t>
      </w:r>
      <w:r w:rsidR="00405FC1" w:rsidRPr="003B7A8E">
        <w:rPr>
          <w:vertAlign w:val="subscript"/>
        </w:rPr>
        <w:t xml:space="preserve">3 </w:t>
      </w:r>
      <w:r w:rsidR="00405FC1" w:rsidRPr="003B7A8E">
        <w:t>+ Epi25OHD</w:t>
      </w:r>
      <w:r w:rsidR="00405FC1" w:rsidRPr="003B7A8E">
        <w:rPr>
          <w:vertAlign w:val="subscript"/>
        </w:rPr>
        <w:t>3</w:t>
      </w:r>
      <w:r w:rsidR="00405FC1" w:rsidRPr="003B7A8E">
        <w:t xml:space="preserve"> y como porcentaje Epi25OHD</w:t>
      </w:r>
      <w:r w:rsidR="00405FC1" w:rsidRPr="003B7A8E">
        <w:rPr>
          <w:vertAlign w:val="subscript"/>
        </w:rPr>
        <w:t>3</w:t>
      </w:r>
      <w:r w:rsidR="00405FC1" w:rsidRPr="003B7A8E">
        <w:t>=Epi25OHD</w:t>
      </w:r>
      <w:r w:rsidR="00405FC1" w:rsidRPr="003B7A8E">
        <w:rPr>
          <w:vertAlign w:val="subscript"/>
        </w:rPr>
        <w:t>3</w:t>
      </w:r>
      <w:r w:rsidR="00405FC1" w:rsidRPr="003B7A8E">
        <w:t>/25OHD</w:t>
      </w:r>
      <w:r w:rsidR="00405FC1" w:rsidRPr="003B7A8E">
        <w:rPr>
          <w:vertAlign w:val="subscript"/>
        </w:rPr>
        <w:t>3</w:t>
      </w:r>
      <w:r w:rsidR="00405FC1" w:rsidRPr="003B7A8E">
        <w:t xml:space="preserve"> total *100. Como prueba estadística se utilizó U-Mann Whitney.</w:t>
      </w:r>
    </w:p>
    <w:p w:rsidR="00C1531A" w:rsidRPr="003B7A8E" w:rsidRDefault="00405FC1" w:rsidP="003B7A8E">
      <w:pPr>
        <w:pStyle w:val="NormalWeb"/>
        <w:spacing w:before="0" w:beforeAutospacing="0" w:after="0" w:afterAutospacing="0"/>
        <w:jc w:val="both"/>
      </w:pPr>
      <w:r w:rsidRPr="003B7A8E">
        <w:rPr>
          <w:rStyle w:val="Textoennegrita"/>
        </w:rPr>
        <w:t>Resultados:</w:t>
      </w:r>
      <w:r w:rsidR="003B7A8E">
        <w:rPr>
          <w:rStyle w:val="Textoennegrita"/>
        </w:rPr>
        <w:t xml:space="preserve"> </w:t>
      </w:r>
      <w:r w:rsidRPr="003B7A8E">
        <w:t>De 53 pacientes (47% femenino), el 94% tenía Epi25OHD</w:t>
      </w:r>
      <w:r w:rsidRPr="003B7A8E">
        <w:rPr>
          <w:vertAlign w:val="subscript"/>
        </w:rPr>
        <w:t xml:space="preserve">3 </w:t>
      </w:r>
      <w:r w:rsidRPr="003B7A8E">
        <w:t>detectable y sólo dos pacientes 25OHD</w:t>
      </w:r>
      <w:r w:rsidRPr="003B7A8E">
        <w:rPr>
          <w:vertAlign w:val="subscript"/>
        </w:rPr>
        <w:t>2</w:t>
      </w:r>
      <w:r w:rsidRPr="003B7A8E">
        <w:t>. Se encontró asociación positiva entre Epi25OHD</w:t>
      </w:r>
      <w:r w:rsidRPr="003B7A8E">
        <w:rPr>
          <w:vertAlign w:val="subscript"/>
        </w:rPr>
        <w:t xml:space="preserve">3 </w:t>
      </w:r>
      <w:r w:rsidRPr="003B7A8E">
        <w:t>y 25OHD</w:t>
      </w:r>
      <w:r w:rsidRPr="003B7A8E">
        <w:rPr>
          <w:vertAlign w:val="subscript"/>
        </w:rPr>
        <w:t>3</w:t>
      </w:r>
      <w:r w:rsidRPr="003B7A8E">
        <w:t xml:space="preserve"> (r=0,675; p &lt;0,01), así como con calcemia (r=0,315; p=0,02), pero no con PTH (p=0,311). La edad gestacional se asoció en forma inversa con la concentración de Epi25OHD</w:t>
      </w:r>
      <w:r w:rsidRPr="003B7A8E">
        <w:rPr>
          <w:vertAlign w:val="subscript"/>
        </w:rPr>
        <w:t xml:space="preserve">3 </w:t>
      </w:r>
      <w:r w:rsidRPr="003B7A8E">
        <w:t>(r=0,361; p=0,008). Al categorizar el estado de Vitamina D según niveles de 25OHD</w:t>
      </w:r>
      <w:r w:rsidRPr="003B7A8E">
        <w:rPr>
          <w:vertAlign w:val="subscript"/>
        </w:rPr>
        <w:t xml:space="preserve">3 </w:t>
      </w:r>
      <w:r w:rsidRPr="003B7A8E">
        <w:t>versus 25OHD</w:t>
      </w:r>
      <w:r w:rsidRPr="003B7A8E">
        <w:rPr>
          <w:vertAlign w:val="subscript"/>
        </w:rPr>
        <w:t xml:space="preserve">3 </w:t>
      </w:r>
      <w:r w:rsidRPr="003B7A8E">
        <w:t>total, el porcentaje de niños con deficiencia cambió de 3,8% a 1,9%, de insuficiencia de 54,7% a 37,7% y suficiente 41,5% a 60,4%. En la tabla se presentan las concentraciones de 25OHD</w:t>
      </w:r>
      <w:r w:rsidRPr="003B7A8E">
        <w:rPr>
          <w:vertAlign w:val="subscript"/>
        </w:rPr>
        <w:t xml:space="preserve">3 </w:t>
      </w:r>
      <w:r w:rsidRPr="003B7A8E">
        <w:t>y Epi25OHD</w:t>
      </w:r>
      <w:r w:rsidRPr="003B7A8E">
        <w:rPr>
          <w:vertAlign w:val="subscript"/>
        </w:rPr>
        <w:t xml:space="preserve">3 </w:t>
      </w:r>
      <w:r w:rsidRPr="003B7A8E">
        <w:t>según condición de RNMP o de Término, encontrándose que los RNMP en edad escolar tienen menor concentración de Epi25OHD</w:t>
      </w:r>
      <w:r w:rsidRPr="003B7A8E">
        <w:rPr>
          <w:vertAlign w:val="subscript"/>
        </w:rPr>
        <w:t>3</w:t>
      </w:r>
      <w:r w:rsidRPr="003B7A8E">
        <w:t>.</w:t>
      </w:r>
    </w:p>
    <w:p w:rsidR="00C1531A" w:rsidRDefault="00405FC1" w:rsidP="003B7A8E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Tabla: Distribución de las concentraciones séricas de 25OHD</w:t>
      </w:r>
      <w:r>
        <w:rPr>
          <w:rStyle w:val="Textoennegrita"/>
          <w:vertAlign w:val="subscript"/>
        </w:rPr>
        <w:t xml:space="preserve">3 </w:t>
      </w:r>
      <w:r>
        <w:rPr>
          <w:rStyle w:val="Textoennegrita"/>
        </w:rPr>
        <w:t>y de Epi25OHD</w:t>
      </w:r>
      <w:r>
        <w:rPr>
          <w:rStyle w:val="Textoennegrita"/>
          <w:vertAlign w:val="subscript"/>
        </w:rPr>
        <w:t xml:space="preserve">3 </w:t>
      </w:r>
      <w:r>
        <w:rPr>
          <w:rStyle w:val="Textoennegrita"/>
        </w:rPr>
        <w:t>en escolares nacidos RNMP y de Término</w:t>
      </w:r>
    </w:p>
    <w:tbl>
      <w:tblPr>
        <w:tblW w:w="115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8"/>
        <w:gridCol w:w="2212"/>
        <w:gridCol w:w="2534"/>
        <w:gridCol w:w="2811"/>
        <w:gridCol w:w="1965"/>
      </w:tblGrid>
      <w:tr w:rsidR="00C1531A">
        <w:trPr>
          <w:trHeight w:val="30"/>
          <w:tblCellSpacing w:w="15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C1531A" w:rsidP="003B7A8E">
            <w:pPr>
              <w:spacing w:after="0" w:line="240" w:lineRule="auto"/>
              <w:rPr>
                <w:rFonts w:eastAsia="Times New Roman"/>
                <w:sz w:val="4"/>
                <w:szCs w:val="16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rStyle w:val="Textoennegrita"/>
                <w:sz w:val="16"/>
                <w:szCs w:val="16"/>
              </w:rPr>
              <w:t>25OHD</w:t>
            </w:r>
            <w:r>
              <w:rPr>
                <w:rStyle w:val="Textoennegrita"/>
                <w:sz w:val="16"/>
                <w:szCs w:val="16"/>
                <w:vertAlign w:val="subscript"/>
              </w:rPr>
              <w:t>3</w:t>
            </w:r>
            <w:r>
              <w:rPr>
                <w:rStyle w:val="Textoennegrita"/>
                <w:sz w:val="16"/>
                <w:szCs w:val="16"/>
              </w:rPr>
              <w:t xml:space="preserve"> (ng/mL)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Epi25OHD</w:t>
            </w:r>
            <w:r>
              <w:rPr>
                <w:rStyle w:val="Textoennegrita"/>
                <w:rFonts w:eastAsia="Times New Roman"/>
                <w:sz w:val="16"/>
                <w:szCs w:val="16"/>
                <w:vertAlign w:val="subscript"/>
              </w:rPr>
              <w:t>3</w:t>
            </w:r>
            <w:r>
              <w:rPr>
                <w:rStyle w:val="Textoennegrita"/>
                <w:rFonts w:eastAsia="Times New Roman"/>
                <w:sz w:val="16"/>
                <w:szCs w:val="16"/>
              </w:rPr>
              <w:t xml:space="preserve"> (ng/mL)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25OHD</w:t>
            </w:r>
            <w:r>
              <w:rPr>
                <w:rStyle w:val="Textoennegrita"/>
                <w:rFonts w:eastAsia="Times New Roman"/>
                <w:sz w:val="16"/>
                <w:szCs w:val="16"/>
                <w:vertAlign w:val="subscript"/>
              </w:rPr>
              <w:t xml:space="preserve">3 </w:t>
            </w:r>
            <w:r>
              <w:rPr>
                <w:rStyle w:val="Textoennegrita"/>
                <w:rFonts w:eastAsia="Times New Roman"/>
                <w:sz w:val="16"/>
                <w:szCs w:val="16"/>
              </w:rPr>
              <w:t>total (ng/mL)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% Epi25OHD</w:t>
            </w:r>
            <w:r>
              <w:rPr>
                <w:rStyle w:val="Textoennegrita"/>
                <w:rFonts w:eastAsia="Times New Roman"/>
                <w:sz w:val="16"/>
                <w:szCs w:val="16"/>
                <w:vertAlign w:val="subscript"/>
              </w:rPr>
              <w:t>3</w:t>
            </w:r>
          </w:p>
        </w:tc>
      </w:tr>
      <w:tr w:rsidR="00C1531A">
        <w:trPr>
          <w:trHeight w:val="390"/>
          <w:tblCellSpacing w:w="15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RNMP (n=25)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27,0 [24,6–32,8]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3,0 [2,5–3,7]*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29,6 [26,9–36,8]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10,0 [8,5–11,2]</w:t>
            </w:r>
          </w:p>
        </w:tc>
      </w:tr>
      <w:tr w:rsidR="00C1531A">
        <w:trPr>
          <w:trHeight w:val="390"/>
          <w:tblCellSpacing w:w="15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Término (n=28)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30,8 [25,5-33,5]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3,6 [3,0–4,3]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34,8 [28,9–37,5]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11,1 [8,9–12,2]</w:t>
            </w:r>
          </w:p>
        </w:tc>
      </w:tr>
      <w:tr w:rsidR="00C1531A">
        <w:trPr>
          <w:trHeight w:val="405"/>
          <w:tblCellSpacing w:w="15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Style w:val="Textoennegrita"/>
                <w:rFonts w:eastAsia="Times New Roman"/>
                <w:sz w:val="16"/>
                <w:szCs w:val="16"/>
              </w:rPr>
              <w:t>Total (n=53)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28,7 [24,6–33,2]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3,2 [2,8–4,2]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31,7 [27,6–37,1]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531A" w:rsidRDefault="00405FC1" w:rsidP="003B7A8E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10,5 [8,6-11,9]</w:t>
            </w:r>
          </w:p>
        </w:tc>
      </w:tr>
    </w:tbl>
    <w:p w:rsidR="00C1531A" w:rsidRDefault="00405FC1" w:rsidP="003B7A8E">
      <w:pPr>
        <w:pStyle w:val="NormalWeb"/>
        <w:spacing w:before="0" w:beforeAutospacing="0" w:after="0" w:afterAutospacing="0"/>
      </w:pPr>
      <w:r>
        <w:rPr>
          <w:rStyle w:val="nfasis"/>
        </w:rPr>
        <w:t>Mediana, [p25%-p75%]; * p &lt;0,05</w:t>
      </w:r>
    </w:p>
    <w:p w:rsidR="00C1531A" w:rsidRPr="003B7A8E" w:rsidRDefault="00405FC1" w:rsidP="003B7A8E">
      <w:pPr>
        <w:pStyle w:val="NormalWeb"/>
        <w:spacing w:before="0" w:beforeAutospacing="0" w:after="0" w:afterAutospacing="0"/>
        <w:jc w:val="both"/>
      </w:pPr>
      <w:r w:rsidRPr="003B7A8E">
        <w:rPr>
          <w:rStyle w:val="Textoennegrita"/>
        </w:rPr>
        <w:t>Conclusiones:</w:t>
      </w:r>
      <w:r w:rsidR="003B7A8E" w:rsidRPr="003B7A8E">
        <w:rPr>
          <w:rStyle w:val="Textoennegrita"/>
        </w:rPr>
        <w:t xml:space="preserve"> </w:t>
      </w:r>
      <w:r w:rsidRPr="003B7A8E">
        <w:t>En edad escolar, la mayoría de los sujetos tiene una fracción importante de Epi25OHD</w:t>
      </w:r>
      <w:r w:rsidRPr="003B7A8E">
        <w:rPr>
          <w:vertAlign w:val="subscript"/>
        </w:rPr>
        <w:t>3</w:t>
      </w:r>
      <w:r w:rsidRPr="003B7A8E">
        <w:t>. Los niveles de Epi25OHD</w:t>
      </w:r>
      <w:r w:rsidRPr="003B7A8E">
        <w:rPr>
          <w:vertAlign w:val="subscript"/>
        </w:rPr>
        <w:t>3</w:t>
      </w:r>
      <w:r w:rsidRPr="003B7A8E">
        <w:t xml:space="preserve"> se asocian con 25OHD</w:t>
      </w:r>
      <w:r w:rsidRPr="003B7A8E">
        <w:rPr>
          <w:vertAlign w:val="subscript"/>
        </w:rPr>
        <w:t xml:space="preserve">3 </w:t>
      </w:r>
      <w:r w:rsidRPr="003B7A8E">
        <w:t>y con calcemia, y son más bajos en escolares RNMP. En este grupo etáreo, la determinación de Epi25OHD</w:t>
      </w:r>
      <w:r w:rsidRPr="003B7A8E">
        <w:rPr>
          <w:vertAlign w:val="subscript"/>
        </w:rPr>
        <w:t xml:space="preserve">3 </w:t>
      </w:r>
      <w:r w:rsidRPr="003B7A8E">
        <w:t>podría ser relevante en la clasificación del estado de Vitamina D, especialmente tomando en cuenta que los métodos rutinarios de laboratorio clínico no detectan Epi25OHD</w:t>
      </w:r>
      <w:r w:rsidRPr="003B7A8E">
        <w:rPr>
          <w:vertAlign w:val="subscript"/>
        </w:rPr>
        <w:t>3</w:t>
      </w:r>
      <w:r w:rsidRPr="003B7A8E">
        <w:t>.</w:t>
      </w:r>
    </w:p>
    <w:p w:rsidR="00405FC1" w:rsidRPr="003B7A8E" w:rsidRDefault="00405FC1" w:rsidP="003B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A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Financiamiento: </w:t>
      </w:r>
      <w:r w:rsidRPr="003B7A8E">
        <w:rPr>
          <w:rFonts w:ascii="Times New Roman" w:eastAsia="Times New Roman" w:hAnsi="Times New Roman" w:cs="Times New Roman"/>
          <w:sz w:val="24"/>
          <w:szCs w:val="24"/>
        </w:rPr>
        <w:t xml:space="preserve">FONDECYT 1160836 </w:t>
      </w:r>
    </w:p>
    <w:sectPr w:rsidR="00405FC1" w:rsidRPr="003B7A8E" w:rsidSect="00C1531A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0283"/>
    <w:rsid w:val="00171FDF"/>
    <w:rsid w:val="00227318"/>
    <w:rsid w:val="003B7A8E"/>
    <w:rsid w:val="00405FC1"/>
    <w:rsid w:val="006E1753"/>
    <w:rsid w:val="007A24CA"/>
    <w:rsid w:val="007F284F"/>
    <w:rsid w:val="008D0390"/>
    <w:rsid w:val="00A40283"/>
    <w:rsid w:val="00BA7B0E"/>
    <w:rsid w:val="00BD1CFC"/>
    <w:rsid w:val="00C1531A"/>
    <w:rsid w:val="00CB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3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1531A"/>
    <w:rPr>
      <w:b/>
      <w:bCs/>
    </w:rPr>
  </w:style>
  <w:style w:type="character" w:styleId="nfasis">
    <w:name w:val="Emphasis"/>
    <w:basedOn w:val="Fuentedeprrafopredeter"/>
    <w:uiPriority w:val="20"/>
    <w:qFormat/>
    <w:rsid w:val="00C153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</dc:creator>
  <cp:keywords/>
  <dc:description/>
  <cp:lastModifiedBy>Ximena</cp:lastModifiedBy>
  <cp:revision>4</cp:revision>
  <cp:lastPrinted>2017-08-28T13:06:00Z</cp:lastPrinted>
  <dcterms:created xsi:type="dcterms:W3CDTF">2017-10-08T20:18:00Z</dcterms:created>
  <dcterms:modified xsi:type="dcterms:W3CDTF">2017-10-11T15:37:00Z</dcterms:modified>
</cp:coreProperties>
</file>