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64" w:rsidRDefault="00763AD6" w:rsidP="00B84CA4">
      <w:pPr>
        <w:spacing w:after="0" w:line="240" w:lineRule="auto"/>
        <w:rPr>
          <w:rFonts w:ascii="Times New Roman" w:eastAsia="Times New Roman" w:hAnsi="Times New Roman" w:cs="Times New Roman"/>
          <w:sz w:val="24"/>
          <w:szCs w:val="24"/>
          <w:vertAlign w:val="superscript"/>
        </w:rPr>
      </w:pPr>
      <w:r>
        <w:rPr>
          <w:rFonts w:eastAsia="Times New Roman"/>
          <w:b/>
        </w:rPr>
        <w:t>P 45</w:t>
      </w:r>
      <w:r w:rsidR="009B3C86" w:rsidRPr="00FC3764">
        <w:rPr>
          <w:rFonts w:eastAsia="Times New Roman"/>
          <w:b/>
        </w:rPr>
        <w:br/>
        <w:t>CA</w:t>
      </w:r>
      <w:r w:rsidR="00FC3764">
        <w:rPr>
          <w:rFonts w:eastAsia="Times New Roman"/>
          <w:b/>
        </w:rPr>
        <w:t>RACTERIZACIÓN DE PACIENTES DIABÉ</w:t>
      </w:r>
      <w:r w:rsidR="009B3C86" w:rsidRPr="00FC3764">
        <w:rPr>
          <w:rFonts w:eastAsia="Times New Roman"/>
          <w:b/>
        </w:rPr>
        <w:t>TICOS TIPO 1 ADULTOS EN TRATAMIENTO CON BOMBA DE</w:t>
      </w:r>
      <w:r w:rsidR="00FC3764">
        <w:rPr>
          <w:rFonts w:eastAsia="Times New Roman"/>
          <w:b/>
        </w:rPr>
        <w:t xml:space="preserve"> INFUSIÓN SUBCUTÁNEA CONTINUA DE INSULINA Y DIABÉTICOS TIPO 1 CON MÚ</w:t>
      </w:r>
      <w:r w:rsidR="009B3C86" w:rsidRPr="00FC3764">
        <w:rPr>
          <w:rFonts w:eastAsia="Times New Roman"/>
          <w:b/>
        </w:rPr>
        <w:t>LTIPLES DOSIS DE INSULINA EN UN CENTRO PRIVADO DE SALUD</w:t>
      </w:r>
      <w:r w:rsidR="009B3C86" w:rsidRPr="00FC3764">
        <w:rPr>
          <w:rFonts w:eastAsia="Times New Roman"/>
          <w:b/>
        </w:rPr>
        <w:br/>
      </w:r>
      <w:r w:rsidR="009B3C86" w:rsidRPr="00FC3764">
        <w:rPr>
          <w:rFonts w:ascii="Times New Roman" w:eastAsia="Times New Roman" w:hAnsi="Times New Roman" w:cs="Times New Roman"/>
          <w:sz w:val="24"/>
          <w:szCs w:val="24"/>
        </w:rPr>
        <w:t xml:space="preserve">Carolina </w:t>
      </w:r>
      <w:r w:rsidR="00FC3764" w:rsidRPr="00FC3764">
        <w:rPr>
          <w:rFonts w:ascii="Times New Roman" w:eastAsia="Times New Roman" w:hAnsi="Times New Roman" w:cs="Times New Roman"/>
          <w:sz w:val="24"/>
          <w:szCs w:val="24"/>
        </w:rPr>
        <w:t>González</w:t>
      </w:r>
      <w:r w:rsidR="009B3C86" w:rsidRPr="00FC3764">
        <w:rPr>
          <w:rFonts w:ascii="Times New Roman" w:eastAsia="Times New Roman" w:hAnsi="Times New Roman" w:cs="Times New Roman"/>
          <w:sz w:val="24"/>
          <w:szCs w:val="24"/>
        </w:rPr>
        <w:t xml:space="preserve"> Zenteno</w:t>
      </w:r>
      <w:r w:rsidR="009B3C86" w:rsidRPr="00FC3764">
        <w:rPr>
          <w:rFonts w:ascii="Times New Roman" w:eastAsia="Times New Roman" w:hAnsi="Times New Roman" w:cs="Times New Roman"/>
          <w:sz w:val="24"/>
          <w:szCs w:val="24"/>
          <w:vertAlign w:val="superscript"/>
        </w:rPr>
        <w:t>1</w:t>
      </w:r>
      <w:r w:rsidR="009B3C86" w:rsidRPr="00FC3764">
        <w:rPr>
          <w:rFonts w:ascii="Times New Roman" w:eastAsia="Times New Roman" w:hAnsi="Times New Roman" w:cs="Times New Roman"/>
          <w:sz w:val="24"/>
          <w:szCs w:val="24"/>
        </w:rPr>
        <w:t xml:space="preserve">, Andrea Larrondo Flores </w:t>
      </w:r>
      <w:r w:rsidR="009B3C86" w:rsidRPr="00FC3764">
        <w:rPr>
          <w:rFonts w:ascii="Times New Roman" w:eastAsia="Times New Roman" w:hAnsi="Times New Roman" w:cs="Times New Roman"/>
          <w:sz w:val="24"/>
          <w:szCs w:val="24"/>
          <w:vertAlign w:val="superscript"/>
        </w:rPr>
        <w:t>1</w:t>
      </w:r>
      <w:r w:rsidR="009B3C86" w:rsidRPr="00FC3764">
        <w:rPr>
          <w:rFonts w:ascii="Times New Roman" w:eastAsia="Times New Roman" w:hAnsi="Times New Roman" w:cs="Times New Roman"/>
          <w:sz w:val="24"/>
          <w:szCs w:val="24"/>
        </w:rPr>
        <w:t>, Andrea Contreras Millán</w:t>
      </w:r>
      <w:r w:rsidR="009B3C86" w:rsidRPr="00FC3764">
        <w:rPr>
          <w:rFonts w:ascii="Times New Roman" w:eastAsia="Times New Roman" w:hAnsi="Times New Roman" w:cs="Times New Roman"/>
          <w:sz w:val="24"/>
          <w:szCs w:val="24"/>
          <w:vertAlign w:val="superscript"/>
        </w:rPr>
        <w:t>1</w:t>
      </w:r>
    </w:p>
    <w:p w:rsidR="0045663E" w:rsidRPr="00B84CA4" w:rsidRDefault="00B84CA4" w:rsidP="00B84CA4">
      <w:pPr>
        <w:spacing w:after="0" w:line="240" w:lineRule="auto"/>
        <w:rPr>
          <w:rFonts w:ascii="Times New Roman" w:hAnsi="Times New Roman" w:cs="Times New Roman"/>
          <w:sz w:val="24"/>
          <w:szCs w:val="24"/>
        </w:rPr>
      </w:pPr>
      <w:r w:rsidRPr="00B84CA4">
        <w:rPr>
          <w:rFonts w:ascii="Times New Roman" w:eastAsia="Times New Roman" w:hAnsi="Times New Roman" w:cs="Times New Roman"/>
          <w:sz w:val="24"/>
          <w:szCs w:val="24"/>
          <w:vertAlign w:val="superscript"/>
        </w:rPr>
        <w:t>1</w:t>
      </w:r>
      <w:r w:rsidRPr="00B84CA4">
        <w:rPr>
          <w:rFonts w:ascii="Times New Roman" w:eastAsia="Times New Roman" w:hAnsi="Times New Roman" w:cs="Times New Roman"/>
          <w:sz w:val="24"/>
          <w:szCs w:val="24"/>
        </w:rPr>
        <w:t xml:space="preserve"> Centro de Nutrición y Diabetes, Clínica Alemana</w:t>
      </w:r>
      <w:r w:rsidRPr="00B84CA4">
        <w:rPr>
          <w:rFonts w:ascii="Times New Roman" w:eastAsia="Times New Roman" w:hAnsi="Times New Roman" w:cs="Times New Roman"/>
          <w:sz w:val="24"/>
          <w:szCs w:val="24"/>
        </w:rPr>
        <w:br/>
      </w:r>
      <w:r w:rsidR="009B3C86" w:rsidRPr="00FC3764">
        <w:rPr>
          <w:rFonts w:ascii="Times New Roman" w:eastAsia="Times New Roman" w:hAnsi="Times New Roman" w:cs="Times New Roman"/>
          <w:sz w:val="24"/>
          <w:szCs w:val="24"/>
        </w:rPr>
        <w:br/>
      </w:r>
      <w:r w:rsidR="009B3C86" w:rsidRPr="00B84CA4">
        <w:rPr>
          <w:rStyle w:val="Textoennegrita"/>
          <w:rFonts w:ascii="Times New Roman" w:hAnsi="Times New Roman" w:cs="Times New Roman"/>
          <w:sz w:val="24"/>
          <w:szCs w:val="24"/>
        </w:rPr>
        <w:t>Objetivos</w:t>
      </w:r>
      <w:r w:rsidR="009B3C86" w:rsidRPr="00B84CA4">
        <w:rPr>
          <w:rFonts w:ascii="Times New Roman" w:hAnsi="Times New Roman" w:cs="Times New Roman"/>
          <w:sz w:val="24"/>
          <w:szCs w:val="24"/>
        </w:rPr>
        <w:t xml:space="preserve"> Conocer las características de los pacientes diabéticos tipo 1, en Bomba de infusión continua subcutánea de insulina (ICSI) en control en un centro privado de salud y compararlos con pacientes diabéticos tipo 1 en tratamiento con múltiples dosis de insulina (MDI) controlados en el mismo servicio.</w:t>
      </w:r>
    </w:p>
    <w:p w:rsidR="0045663E" w:rsidRPr="00B84CA4" w:rsidRDefault="009B3C86" w:rsidP="00B84CA4">
      <w:pPr>
        <w:pStyle w:val="NormalWeb"/>
        <w:spacing w:before="0" w:beforeAutospacing="0" w:after="0" w:afterAutospacing="0"/>
        <w:jc w:val="both"/>
      </w:pPr>
      <w:r w:rsidRPr="00B84CA4">
        <w:rPr>
          <w:rStyle w:val="Textoennegrita"/>
        </w:rPr>
        <w:t>Material y Métodos:</w:t>
      </w:r>
      <w:r w:rsidRPr="00B84CA4">
        <w:t xml:space="preserve"> Se revisaron las fichas de 28 pacientes diabéticos tipo 1 con ICSI que asistieron a control medico en los 2 últimos años, y de 27 pacientes diabéticos tipo 1 con MDI que asisten a control medico regularmente.</w:t>
      </w:r>
    </w:p>
    <w:p w:rsidR="0045663E" w:rsidRPr="00B84CA4" w:rsidRDefault="009B3C86" w:rsidP="00B84CA4">
      <w:pPr>
        <w:pStyle w:val="NormalWeb"/>
        <w:spacing w:before="0" w:beforeAutospacing="0" w:after="0" w:afterAutospacing="0"/>
        <w:jc w:val="both"/>
      </w:pPr>
      <w:r w:rsidRPr="00B84CA4">
        <w:rPr>
          <w:rStyle w:val="Textoennegrita"/>
        </w:rPr>
        <w:t>Resultados</w:t>
      </w:r>
      <w:r w:rsidRPr="00B84CA4">
        <w:t>:</w:t>
      </w:r>
    </w:p>
    <w:tbl>
      <w:tblPr>
        <w:tblW w:w="0" w:type="auto"/>
        <w:tblCellSpacing w:w="15" w:type="dxa"/>
        <w:tblCellMar>
          <w:top w:w="15" w:type="dxa"/>
          <w:left w:w="15" w:type="dxa"/>
          <w:bottom w:w="15" w:type="dxa"/>
          <w:right w:w="15" w:type="dxa"/>
        </w:tblCellMar>
        <w:tblLook w:val="04A0"/>
      </w:tblPr>
      <w:tblGrid>
        <w:gridCol w:w="2203"/>
        <w:gridCol w:w="1770"/>
        <w:gridCol w:w="1785"/>
      </w:tblGrid>
      <w:tr w:rsidR="0045663E" w:rsidRPr="00B84CA4">
        <w:trPr>
          <w:tblCellSpacing w:w="15" w:type="dxa"/>
        </w:trPr>
        <w:tc>
          <w:tcPr>
            <w:tcW w:w="1752" w:type="dxa"/>
            <w:vAlign w:val="center"/>
            <w:hideMark/>
          </w:tcPr>
          <w:p w:rsidR="0045663E" w:rsidRPr="00B84CA4" w:rsidRDefault="00B84CA4" w:rsidP="00FC3764">
            <w:pPr>
              <w:pStyle w:val="NormalWeb"/>
              <w:spacing w:before="0" w:beforeAutospacing="0" w:after="0" w:afterAutospacing="0"/>
              <w:jc w:val="both"/>
              <w:rPr>
                <w:sz w:val="22"/>
                <w:szCs w:val="22"/>
              </w:rPr>
            </w:pPr>
            <w:r w:rsidRPr="00B84CA4">
              <w:rPr>
                <w:rStyle w:val="Textoennegrita"/>
                <w:sz w:val="22"/>
                <w:szCs w:val="22"/>
              </w:rPr>
              <w:t>CARACTERÍ</w:t>
            </w:r>
            <w:r w:rsidR="009B3C86" w:rsidRPr="00B84CA4">
              <w:rPr>
                <w:rStyle w:val="Textoennegrita"/>
                <w:sz w:val="22"/>
                <w:szCs w:val="22"/>
              </w:rPr>
              <w:t>STICAS</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rStyle w:val="Textoennegrita"/>
                <w:sz w:val="22"/>
                <w:szCs w:val="22"/>
              </w:rPr>
              <w:t>ICSI</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rStyle w:val="Textoennegrita"/>
                <w:sz w:val="22"/>
                <w:szCs w:val="22"/>
              </w:rPr>
              <w:t>MDI</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Mujeres /Hombres</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20 / 8</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12 / 15</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Edad x̅ (rango)</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29,5 ( 19-65 )</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37,7 (16-74 )</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IMC x̅ (rango)</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24,4 (20,3-30,8)</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23,0 (18,5 – 27,4 )</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Duración de la diabetes años , x̅ (rango)</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18,8 ( 2- 44)</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15,4 ( 2- 48)</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Uso Inhibidor SGLT2</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4</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4</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Años con Bomba</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4 (1 -12)</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NA</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rStyle w:val="Textoennegrita"/>
                <w:sz w:val="22"/>
                <w:szCs w:val="22"/>
              </w:rPr>
              <w:t xml:space="preserve">Tipo de Bomba </w:t>
            </w:r>
          </w:p>
        </w:tc>
        <w:tc>
          <w:tcPr>
            <w:tcW w:w="1740" w:type="dxa"/>
            <w:vAlign w:val="center"/>
            <w:hideMark/>
          </w:tcPr>
          <w:p w:rsidR="0045663E" w:rsidRPr="00B84CA4" w:rsidRDefault="0045663E" w:rsidP="00FC3764">
            <w:pPr>
              <w:spacing w:after="0" w:line="240" w:lineRule="auto"/>
              <w:jc w:val="both"/>
              <w:rPr>
                <w:rFonts w:ascii="Times New Roman" w:eastAsia="Times New Roman" w:hAnsi="Times New Roman" w:cs="Times New Roman"/>
              </w:rPr>
            </w:pPr>
          </w:p>
        </w:tc>
        <w:tc>
          <w:tcPr>
            <w:tcW w:w="1740" w:type="dxa"/>
            <w:vAlign w:val="center"/>
            <w:hideMark/>
          </w:tcPr>
          <w:p w:rsidR="0045663E" w:rsidRPr="00B84CA4" w:rsidRDefault="0045663E" w:rsidP="00FC3764">
            <w:pPr>
              <w:spacing w:after="0" w:line="240" w:lineRule="auto"/>
              <w:jc w:val="both"/>
              <w:rPr>
                <w:rFonts w:ascii="Times New Roman" w:eastAsia="Times New Roman" w:hAnsi="Times New Roman" w:cs="Times New Roman"/>
              </w:rPr>
            </w:pP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 xml:space="preserve">- </w:t>
            </w:r>
            <w:proofErr w:type="spellStart"/>
            <w:r w:rsidRPr="00B84CA4">
              <w:rPr>
                <w:sz w:val="22"/>
                <w:szCs w:val="22"/>
              </w:rPr>
              <w:t>Paradigm</w:t>
            </w:r>
            <w:proofErr w:type="spellEnd"/>
            <w:r w:rsidRPr="00B84CA4">
              <w:rPr>
                <w:sz w:val="22"/>
                <w:szCs w:val="22"/>
              </w:rPr>
              <w:t xml:space="preserve"> VEO</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14</w:t>
            </w:r>
          </w:p>
        </w:tc>
        <w:tc>
          <w:tcPr>
            <w:tcW w:w="1740" w:type="dxa"/>
            <w:vAlign w:val="center"/>
            <w:hideMark/>
          </w:tcPr>
          <w:p w:rsidR="0045663E" w:rsidRPr="00B84CA4" w:rsidRDefault="0045663E" w:rsidP="00FC3764">
            <w:pPr>
              <w:spacing w:after="0" w:line="240" w:lineRule="auto"/>
              <w:jc w:val="both"/>
              <w:rPr>
                <w:rFonts w:ascii="Times New Roman" w:eastAsia="Times New Roman" w:hAnsi="Times New Roman" w:cs="Times New Roman"/>
              </w:rPr>
            </w:pP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- 640G</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10</w:t>
            </w:r>
          </w:p>
        </w:tc>
        <w:tc>
          <w:tcPr>
            <w:tcW w:w="1740" w:type="dxa"/>
            <w:vAlign w:val="center"/>
            <w:hideMark/>
          </w:tcPr>
          <w:p w:rsidR="0045663E" w:rsidRPr="00B84CA4" w:rsidRDefault="0045663E" w:rsidP="00FC3764">
            <w:pPr>
              <w:spacing w:after="0" w:line="240" w:lineRule="auto"/>
              <w:jc w:val="both"/>
              <w:rPr>
                <w:rFonts w:ascii="Times New Roman" w:eastAsia="Times New Roman" w:hAnsi="Times New Roman" w:cs="Times New Roman"/>
              </w:rPr>
            </w:pP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 xml:space="preserve">- </w:t>
            </w:r>
            <w:proofErr w:type="spellStart"/>
            <w:r w:rsidRPr="00B84CA4">
              <w:rPr>
                <w:sz w:val="22"/>
                <w:szCs w:val="22"/>
              </w:rPr>
              <w:t>Paradigm</w:t>
            </w:r>
            <w:proofErr w:type="spellEnd"/>
            <w:r w:rsidRPr="00B84CA4">
              <w:rPr>
                <w:sz w:val="22"/>
                <w:szCs w:val="22"/>
              </w:rPr>
              <w:t xml:space="preserve"> 722</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3</w:t>
            </w:r>
          </w:p>
        </w:tc>
        <w:tc>
          <w:tcPr>
            <w:tcW w:w="1740" w:type="dxa"/>
            <w:vAlign w:val="center"/>
            <w:hideMark/>
          </w:tcPr>
          <w:p w:rsidR="0045663E" w:rsidRPr="00B84CA4" w:rsidRDefault="0045663E" w:rsidP="00FC3764">
            <w:pPr>
              <w:spacing w:after="0" w:line="240" w:lineRule="auto"/>
              <w:jc w:val="both"/>
              <w:rPr>
                <w:rFonts w:ascii="Times New Roman" w:eastAsia="Times New Roman" w:hAnsi="Times New Roman" w:cs="Times New Roman"/>
              </w:rPr>
            </w:pP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 Dana</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1</w:t>
            </w:r>
          </w:p>
        </w:tc>
        <w:tc>
          <w:tcPr>
            <w:tcW w:w="1740" w:type="dxa"/>
            <w:vAlign w:val="center"/>
            <w:hideMark/>
          </w:tcPr>
          <w:p w:rsidR="0045663E" w:rsidRPr="00B84CA4" w:rsidRDefault="0045663E" w:rsidP="00FC3764">
            <w:pPr>
              <w:spacing w:after="0" w:line="240" w:lineRule="auto"/>
              <w:jc w:val="both"/>
              <w:rPr>
                <w:rFonts w:ascii="Times New Roman" w:eastAsia="Times New Roman" w:hAnsi="Times New Roman" w:cs="Times New Roman"/>
              </w:rPr>
            </w:pP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rStyle w:val="Textoennegrita"/>
                <w:sz w:val="22"/>
                <w:szCs w:val="22"/>
              </w:rPr>
              <w:t>Uso de Sensor</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rStyle w:val="Textoennegrita"/>
                <w:sz w:val="22"/>
                <w:szCs w:val="22"/>
              </w:rPr>
              <w:t>21</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rStyle w:val="Textoennegrita"/>
                <w:sz w:val="22"/>
                <w:szCs w:val="22"/>
              </w:rPr>
              <w:t>14</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Free Style Free</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10 ( 8 permanente 2 intermitente)</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14 ( 8 permanente 6 intermitente)</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proofErr w:type="spellStart"/>
            <w:r w:rsidRPr="00B84CA4">
              <w:rPr>
                <w:sz w:val="22"/>
                <w:szCs w:val="22"/>
              </w:rPr>
              <w:t>Enlite</w:t>
            </w:r>
            <w:proofErr w:type="spellEnd"/>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11 ( 5 permanente/</w:t>
            </w:r>
          </w:p>
          <w:p w:rsidR="0045663E" w:rsidRPr="00B84CA4" w:rsidRDefault="009B3C86" w:rsidP="00FC3764">
            <w:pPr>
              <w:pStyle w:val="NormalWeb"/>
              <w:spacing w:before="0" w:beforeAutospacing="0" w:after="0" w:afterAutospacing="0"/>
              <w:jc w:val="both"/>
              <w:rPr>
                <w:sz w:val="22"/>
                <w:szCs w:val="22"/>
              </w:rPr>
            </w:pPr>
            <w:r w:rsidRPr="00B84CA4">
              <w:rPr>
                <w:sz w:val="22"/>
                <w:szCs w:val="22"/>
              </w:rPr>
              <w:t>6 intermitente)</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0</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Hemoglobina glicosilada ultimo control x̅ (rango)</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7,6 ( 5,5- 10,9 )</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7,6 ( 5,8 -10,7)</w:t>
            </w:r>
          </w:p>
        </w:tc>
      </w:tr>
    </w:tbl>
    <w:p w:rsidR="0045663E" w:rsidRPr="00B84CA4" w:rsidRDefault="0045663E" w:rsidP="00FC3764">
      <w:pPr>
        <w:spacing w:after="0" w:line="240" w:lineRule="auto"/>
        <w:jc w:val="both"/>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tblPr>
      <w:tblGrid>
        <w:gridCol w:w="1797"/>
        <w:gridCol w:w="1770"/>
        <w:gridCol w:w="1785"/>
      </w:tblGrid>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rStyle w:val="Textoennegrita"/>
                <w:sz w:val="22"/>
                <w:szCs w:val="22"/>
              </w:rPr>
              <w:t>Complicaciones</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rStyle w:val="Textoennegrita"/>
                <w:sz w:val="22"/>
                <w:szCs w:val="22"/>
              </w:rPr>
              <w:t>ICSI</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rStyle w:val="Textoennegrita"/>
                <w:sz w:val="22"/>
                <w:szCs w:val="22"/>
              </w:rPr>
              <w:t>MDI</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Enfermedad Coronaria</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2</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0</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RDNP</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3</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6</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RDP</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0</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2</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Nefropatía</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1</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2</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proofErr w:type="spellStart"/>
            <w:r w:rsidRPr="00B84CA4">
              <w:rPr>
                <w:sz w:val="22"/>
                <w:szCs w:val="22"/>
              </w:rPr>
              <w:t>Polineuropatía</w:t>
            </w:r>
            <w:proofErr w:type="spellEnd"/>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0</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2</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Cetoacidosis</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2</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1</w:t>
            </w:r>
          </w:p>
        </w:tc>
      </w:tr>
      <w:tr w:rsidR="0045663E" w:rsidRPr="00B84CA4">
        <w:trPr>
          <w:tblCellSpacing w:w="15" w:type="dxa"/>
        </w:trPr>
        <w:tc>
          <w:tcPr>
            <w:tcW w:w="1752"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Hipoglicemia severa</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2</w:t>
            </w:r>
          </w:p>
        </w:tc>
        <w:tc>
          <w:tcPr>
            <w:tcW w:w="1740" w:type="dxa"/>
            <w:vAlign w:val="center"/>
            <w:hideMark/>
          </w:tcPr>
          <w:p w:rsidR="0045663E" w:rsidRPr="00B84CA4" w:rsidRDefault="009B3C86" w:rsidP="00FC3764">
            <w:pPr>
              <w:pStyle w:val="NormalWeb"/>
              <w:spacing w:before="0" w:beforeAutospacing="0" w:after="0" w:afterAutospacing="0"/>
              <w:jc w:val="both"/>
              <w:rPr>
                <w:sz w:val="22"/>
                <w:szCs w:val="22"/>
              </w:rPr>
            </w:pPr>
            <w:r w:rsidRPr="00B84CA4">
              <w:rPr>
                <w:sz w:val="22"/>
                <w:szCs w:val="22"/>
              </w:rPr>
              <w:t>8</w:t>
            </w:r>
          </w:p>
        </w:tc>
      </w:tr>
    </w:tbl>
    <w:p w:rsidR="0045663E" w:rsidRPr="00B84CA4" w:rsidRDefault="009B3C86" w:rsidP="00FC3764">
      <w:pPr>
        <w:pStyle w:val="NormalWeb"/>
        <w:spacing w:before="0" w:beforeAutospacing="0" w:after="0" w:afterAutospacing="0"/>
        <w:jc w:val="both"/>
      </w:pPr>
      <w:r w:rsidRPr="00B84CA4">
        <w:rPr>
          <w:rStyle w:val="Textoennegrita"/>
        </w:rPr>
        <w:t xml:space="preserve">Conclusiones: </w:t>
      </w:r>
      <w:r w:rsidRPr="00B84CA4">
        <w:t>Los pacientes diabéticos tipo 1 que asisten regularmente a control en nuestro servicio, ya sea esté</w:t>
      </w:r>
      <w:r w:rsidR="00B84CA4">
        <w:t>n en terapia con ICSI o con MDI</w:t>
      </w:r>
      <w:r w:rsidRPr="00B84CA4">
        <w:t>, tienen en promedio un peso normal y similar tiempo de evolución de diabetes. Se observa un mayor uso de sensor en el grupo en terapia con ICSI (75% vs 51,8% en MDI). Sin embargo, esto no se asoció a diferencias en el control metabólico de estos pacientes definido por valor de hemoglobina glicosilada. En este sentido es importante considerar que del total de pacientes que utilizan sensor solo un 40 % lo utiliza en forma permanente.</w:t>
      </w:r>
    </w:p>
    <w:p w:rsidR="0045663E" w:rsidRPr="00B84CA4" w:rsidRDefault="009B3C86" w:rsidP="00FC3764">
      <w:pPr>
        <w:pStyle w:val="NormalWeb"/>
        <w:spacing w:before="0" w:beforeAutospacing="0" w:after="0" w:afterAutospacing="0"/>
        <w:jc w:val="both"/>
      </w:pPr>
      <w:r w:rsidRPr="00B84CA4">
        <w:t>Del total de paciente</w:t>
      </w:r>
      <w:r w:rsidR="00B84CA4" w:rsidRPr="00B84CA4">
        <w:t>s evaluados, solo 2 pacientes (</w:t>
      </w:r>
      <w:r w:rsidRPr="00B84CA4">
        <w:t xml:space="preserve">3,6%) han presentado a la fecha complicaciones </w:t>
      </w:r>
      <w:proofErr w:type="spellStart"/>
      <w:r w:rsidRPr="00B84CA4">
        <w:t>macrovasculares</w:t>
      </w:r>
      <w:proofErr w:type="spellEnd"/>
      <w:r w:rsidRPr="00B84CA4">
        <w:t xml:space="preserve"> (ambos en ICSI). </w:t>
      </w:r>
      <w:proofErr w:type="spellStart"/>
      <w:r w:rsidRPr="00B84CA4">
        <w:t>Microangiopatia</w:t>
      </w:r>
      <w:proofErr w:type="spellEnd"/>
      <w:r w:rsidRPr="00B84CA4">
        <w:t xml:space="preserve"> presenta un 14,2% de los pacientes en ICSI vs 29,6% de los pacientes en MDI. En los 2 últimos años de seguimiento, 3 pacientes han presentado cetoacidosis, 2 pacientes en el grupo con ICSI, (uno por obstrucción de cánula y el otro era usuario de iSGLT2), y un paciente en MDI (por mala adherencia a terapia).</w:t>
      </w:r>
    </w:p>
    <w:p w:rsidR="0045663E" w:rsidRPr="00B84CA4" w:rsidRDefault="009B3C86" w:rsidP="00FC3764">
      <w:pPr>
        <w:pStyle w:val="NormalWeb"/>
        <w:spacing w:before="0" w:beforeAutospacing="0" w:after="0" w:afterAutospacing="0"/>
        <w:jc w:val="both"/>
      </w:pPr>
      <w:r w:rsidRPr="00B84CA4">
        <w:t>Al igual que lo reportado en la literatura observamos una mayor incidencia de hipoglicemia severa en el grupo en terapia con MDI (29,6% vs 7,1% en ICSI).</w:t>
      </w:r>
    </w:p>
    <w:p w:rsidR="009B3C86" w:rsidRPr="00B84CA4" w:rsidRDefault="009B3C86" w:rsidP="00FC3764">
      <w:pPr>
        <w:pStyle w:val="NormalWeb"/>
        <w:spacing w:before="0" w:beforeAutospacing="0" w:after="0" w:afterAutospacing="0"/>
        <w:jc w:val="both"/>
      </w:pPr>
      <w:r w:rsidRPr="00B84CA4">
        <w:t>Consideramos importante el análisis de la condición actual de los pacientes adultos en terapia con ICSI dado la reciente incorporación de esta terapia en nuestro sistema de salud público. En nuestros pacientes se observó un claro beneficio en la incidencia de hipoglicemia severa, la cual es la principal indicación de ICSI por Ley Ricarte Soto en la población adulta. Pensamos que el beneficio podría ser aun mejor en el grupo analizado si estos pacientes utilizaran el sensor de glicemia en forma permanente como esta contemplado en la ley.</w:t>
      </w:r>
    </w:p>
    <w:sectPr w:rsidR="009B3C86" w:rsidRPr="00B84CA4" w:rsidSect="00B84CA4">
      <w:pgSz w:w="12240" w:h="20160" w:code="5"/>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F28D2"/>
    <w:rsid w:val="002F28D2"/>
    <w:rsid w:val="0045663E"/>
    <w:rsid w:val="004E6CD2"/>
    <w:rsid w:val="00763AD6"/>
    <w:rsid w:val="007E1256"/>
    <w:rsid w:val="009B3C86"/>
    <w:rsid w:val="009C27BF"/>
    <w:rsid w:val="00B84CA4"/>
    <w:rsid w:val="00FC37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5663E"/>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45663E"/>
    <w:rPr>
      <w:b/>
      <w:bCs/>
    </w:rPr>
  </w:style>
  <w:style w:type="paragraph" w:styleId="Textodeglobo">
    <w:name w:val="Balloon Text"/>
    <w:basedOn w:val="Normal"/>
    <w:link w:val="TextodegloboCar"/>
    <w:uiPriority w:val="99"/>
    <w:semiHidden/>
    <w:unhideWhenUsed/>
    <w:rsid w:val="007E1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sid w:val="007E1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2856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2017-08-24T22:46:00Z</cp:lastPrinted>
  <dcterms:created xsi:type="dcterms:W3CDTF">2017-10-08T20:51:00Z</dcterms:created>
  <dcterms:modified xsi:type="dcterms:W3CDTF">2017-10-08T20:51:00Z</dcterms:modified>
</cp:coreProperties>
</file>