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62" w:rsidRDefault="004E4BA3" w:rsidP="003B2272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P 63</w:t>
      </w:r>
      <w:r w:rsidR="0004117C">
        <w:rPr>
          <w:rFonts w:eastAsia="Times New Roman"/>
          <w:b/>
          <w:bCs/>
        </w:rPr>
        <w:br/>
        <w:t>HIPOTIROIDISMO POR NIVOLUMAB: CASO CLÍNICO Y REVISIÓN DE LA LITERATURA</w:t>
      </w:r>
      <w:r w:rsidR="0004117C">
        <w:rPr>
          <w:rFonts w:eastAsia="Times New Roman"/>
        </w:rPr>
        <w:br/>
      </w:r>
      <w:r w:rsidR="003B2272" w:rsidRPr="00E663FF">
        <w:rPr>
          <w:rFonts w:ascii="Times New Roman" w:eastAsia="Times New Roman" w:hAnsi="Times New Roman" w:cs="Times New Roman"/>
          <w:sz w:val="24"/>
          <w:szCs w:val="24"/>
        </w:rPr>
        <w:t>Nicole Lustig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272" w:rsidRPr="00E663FF">
        <w:rPr>
          <w:rFonts w:ascii="Times New Roman" w:eastAsia="Times New Roman" w:hAnsi="Times New Roman" w:cs="Times New Roman"/>
          <w:sz w:val="24"/>
          <w:szCs w:val="24"/>
        </w:rPr>
        <w:t>Javier Jaramillo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3B2272" w:rsidRPr="00E663FF">
        <w:rPr>
          <w:rFonts w:ascii="Times New Roman" w:eastAsia="Times New Roman" w:hAnsi="Times New Roman" w:cs="Times New Roman"/>
          <w:sz w:val="24"/>
          <w:szCs w:val="24"/>
        </w:rPr>
        <w:t>rancisco Guarda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3B2272" w:rsidRPr="00E663FF">
        <w:rPr>
          <w:rFonts w:ascii="Times New Roman" w:eastAsia="Times New Roman" w:hAnsi="Times New Roman" w:cs="Times New Roman"/>
          <w:sz w:val="24"/>
          <w:szCs w:val="24"/>
        </w:rPr>
        <w:t>rancisco Acevedo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br/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t xml:space="preserve">Departamento Endocrinología, Pontificia Universidad Católica de Chile, 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663FF">
        <w:rPr>
          <w:rFonts w:ascii="Times New Roman" w:eastAsia="Times New Roman" w:hAnsi="Times New Roman" w:cs="Times New Roman"/>
          <w:sz w:val="24"/>
          <w:szCs w:val="24"/>
        </w:rPr>
        <w:t>Departamento Oncología M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t>édica, Pontificia Universidad Católica de Chile</w:t>
      </w:r>
      <w:r w:rsidR="0004117C" w:rsidRPr="00E663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Introducción:</w:t>
      </w:r>
      <w:r w:rsidR="00E663FF">
        <w:rPr>
          <w:rStyle w:val="Textoennegrita"/>
        </w:rPr>
        <w:t xml:space="preserve"> </w:t>
      </w:r>
      <w:r>
        <w:t>La inmunoterapia ha surgido como una alternativa terapéutica en el tratamiento de diferentes tipos de cáncer y se espera que su uso se masifique durante los próximos años. Es por esto que es imperativo conocer los diversos efectos adversos inmuno relacionados (</w:t>
      </w:r>
      <w:proofErr w:type="spellStart"/>
      <w:r>
        <w:t>IRAEs</w:t>
      </w:r>
      <w:proofErr w:type="spellEnd"/>
      <w:r>
        <w:t>), particularmente sus efectos a nivel tiroideo. Se presenta el siguiente caso clínico a modo de reconocer la forma de presentación de estos efectos adversos.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Caso clínico</w:t>
      </w:r>
      <w:r>
        <w:t xml:space="preserve">: Paciente de sexo masculino, 42 años. Antecedentes de Melanoma labio superior diagnosticado y operado el año 2014. En su seguimiento el año 2016 se realiza PET-CT de control que informa metástasis de melanoma a cabeza páncreas, </w:t>
      </w:r>
      <w:proofErr w:type="spellStart"/>
      <w:r>
        <w:t>retroperitoneo</w:t>
      </w:r>
      <w:proofErr w:type="spellEnd"/>
      <w:r>
        <w:t xml:space="preserve">, omento y apófisis espinosa L5. Se realiza biopsia de lesión pancreática compatible con metástasis de melanoma, motivo por el cual en Julio del 2016 es discutido en comité oncológico y se decide inicio de inmunoterapia con Nivolumab. Un mes posterior al inicio del medicamento evoluciona con compromiso del estado general, baja energía y somnolencia. Se solicita TSH 164 </w:t>
      </w:r>
      <w:proofErr w:type="spellStart"/>
      <w:r>
        <w:t>uU</w:t>
      </w:r>
      <w:proofErr w:type="spellEnd"/>
      <w:r>
        <w:t xml:space="preserve">/mL, T4 2.6 ug/dL, anticuerpos anti TPO 750 </w:t>
      </w:r>
      <w:proofErr w:type="spellStart"/>
      <w:r>
        <w:t>uI</w:t>
      </w:r>
      <w:proofErr w:type="spellEnd"/>
      <w:r>
        <w:t xml:space="preserve">/mL (+), sin otras alteraciones en exámenes generales. Se interpreta como Hipotiroidismo primario, gatillado por uso de Nivolumab por lo que se inicia Levotiroxina 100 </w:t>
      </w:r>
      <w:proofErr w:type="spellStart"/>
      <w:r>
        <w:t>mcg</w:t>
      </w:r>
      <w:proofErr w:type="spellEnd"/>
      <w:r>
        <w:t xml:space="preserve"> al día. El paciente evoluciona en forma satisfactoria, con mejoría de su sintomatología. Requiere aumento de dosis hasta 150 </w:t>
      </w:r>
      <w:proofErr w:type="spellStart"/>
      <w:r>
        <w:t>mcg</w:t>
      </w:r>
      <w:proofErr w:type="spellEnd"/>
      <w:r>
        <w:t xml:space="preserve"> al día para lograr eutiroidismo.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Discusión:</w:t>
      </w:r>
      <w:r>
        <w:t xml:space="preserve"> Hoy en día existen distintas inmunoterapias disponibles para el tratamiento del Cáncer, tales como los anticuerpos bloqueadores de antígeno </w:t>
      </w:r>
      <w:proofErr w:type="spellStart"/>
      <w:r>
        <w:t>citotóxico</w:t>
      </w:r>
      <w:proofErr w:type="spellEnd"/>
      <w:r>
        <w:t xml:space="preserve"> de linfocitos T4 (CTLA4) y la proteína de muerte celular programada 1 (PD1) que son dos receptores </w:t>
      </w:r>
      <w:proofErr w:type="spellStart"/>
      <w:r>
        <w:t>coinhibitorios</w:t>
      </w:r>
      <w:proofErr w:type="spellEnd"/>
      <w:r>
        <w:t xml:space="preserve"> expresados en células T activadas, utilizados por las células tumorales para evadir los efectos de la respuesta inmune del huésped.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t xml:space="preserve">Se ha visto que el uso de estas terapias puede asociarse a diversos </w:t>
      </w:r>
      <w:proofErr w:type="spellStart"/>
      <w:r>
        <w:t>IRAEs</w:t>
      </w:r>
      <w:proofErr w:type="spellEnd"/>
      <w:r>
        <w:t xml:space="preserve"> entre ellos alteraciones endocrinológicas donde se destacan alteraciones tiroideas, hipofisitis, insuficiencia suprarrenal y diabetes mellitus.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t xml:space="preserve">En cuanto a las alteraciones tiroideas se ha visto hipertiroidismo subclínico y clínico hasta en un 3% de los usuarios de inmunoterapia, Hipotiroidismo primario, secundario y tiroiditis hasta en un 7%. En su manifestación clínica, los síntomas no difieren del cuadro habitual de cada patología y el tiempo de presentación de la patología </w:t>
      </w:r>
      <w:proofErr w:type="spellStart"/>
      <w:r>
        <w:t>tiroídea</w:t>
      </w:r>
      <w:proofErr w:type="spellEnd"/>
      <w:r>
        <w:t xml:space="preserve"> es variable con reportes que van desde 3 semanas a 3 años.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t>Con respecto al tratamiento de Hipotiroidismo, los pacientes deben ser manejados con suplementación habitual. Se deben controlar hormonas tiroideas en forma protocolizada, inicialmente todos los meses por 6 meses, luego cada 3 meses hasta el año y posteriormente cada 6-12 meses.</w:t>
      </w:r>
    </w:p>
    <w:p w:rsidR="00C81662" w:rsidRDefault="0004117C" w:rsidP="00E663FF">
      <w:pPr>
        <w:pStyle w:val="NormalWeb"/>
        <w:spacing w:before="0" w:beforeAutospacing="0" w:after="0" w:afterAutospacing="0"/>
        <w:jc w:val="both"/>
      </w:pPr>
      <w:r>
        <w:t>El presente caso clínico ejemplifica los efectos de estas terapias y el manejo correspondiente.</w:t>
      </w:r>
    </w:p>
    <w:p w:rsidR="0004117C" w:rsidRDefault="0004117C" w:rsidP="00E663FF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04117C" w:rsidSect="00C8166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7F90"/>
    <w:rsid w:val="0004117C"/>
    <w:rsid w:val="00137F90"/>
    <w:rsid w:val="003B2272"/>
    <w:rsid w:val="004E4BA3"/>
    <w:rsid w:val="00705727"/>
    <w:rsid w:val="00726E31"/>
    <w:rsid w:val="00B568F0"/>
    <w:rsid w:val="00C81662"/>
    <w:rsid w:val="00E663FF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6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1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dcterms:created xsi:type="dcterms:W3CDTF">2017-10-08T21:50:00Z</dcterms:created>
  <dcterms:modified xsi:type="dcterms:W3CDTF">2017-10-08T21:50:00Z</dcterms:modified>
</cp:coreProperties>
</file>