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4A" w:rsidRPr="001A6757" w:rsidRDefault="00FD2165" w:rsidP="001A6757">
      <w:pPr>
        <w:spacing w:after="0" w:line="240" w:lineRule="auto"/>
        <w:rPr>
          <w:rFonts w:ascii="Times New Roman" w:eastAsia="Times New Roman" w:hAnsi="Times New Roman" w:cs="Times New Roman"/>
          <w:sz w:val="24"/>
          <w:szCs w:val="24"/>
        </w:rPr>
      </w:pPr>
      <w:r>
        <w:rPr>
          <w:rFonts w:eastAsia="Times New Roman"/>
          <w:b/>
          <w:bCs/>
        </w:rPr>
        <w:t>P 71</w:t>
      </w:r>
      <w:r w:rsidR="001A6757">
        <w:rPr>
          <w:rFonts w:eastAsia="Times New Roman"/>
          <w:b/>
          <w:bCs/>
        </w:rPr>
        <w:br/>
        <w:t>ASPECTOS ECOGRÁFICOS ATÍ</w:t>
      </w:r>
      <w:r w:rsidR="00964373">
        <w:rPr>
          <w:rFonts w:eastAsia="Times New Roman"/>
          <w:b/>
          <w:bCs/>
        </w:rPr>
        <w:t>PICOS DEL CARCINOMA PAPILAR DE LA TIROIDES. ¿COMO RECONOCERLOS?</w:t>
      </w:r>
      <w:r w:rsidR="00964373">
        <w:rPr>
          <w:rFonts w:eastAsia="Times New Roman"/>
        </w:rPr>
        <w:br/>
      </w:r>
      <w:r w:rsidR="00964373" w:rsidRPr="001A6757">
        <w:rPr>
          <w:rFonts w:ascii="Times New Roman" w:eastAsia="Times New Roman" w:hAnsi="Times New Roman" w:cs="Times New Roman"/>
          <w:sz w:val="24"/>
          <w:szCs w:val="24"/>
        </w:rPr>
        <w:t>E</w:t>
      </w:r>
      <w:r w:rsidR="001A6757">
        <w:rPr>
          <w:rFonts w:ascii="Times New Roman" w:eastAsia="Times New Roman" w:hAnsi="Times New Roman" w:cs="Times New Roman"/>
          <w:sz w:val="24"/>
          <w:szCs w:val="24"/>
        </w:rPr>
        <w:t>leonora Horvath</w:t>
      </w:r>
      <w:r w:rsidR="00964373" w:rsidRPr="001A6757">
        <w:rPr>
          <w:rFonts w:ascii="Times New Roman" w:eastAsia="Times New Roman" w:hAnsi="Times New Roman" w:cs="Times New Roman"/>
          <w:sz w:val="24"/>
          <w:szCs w:val="24"/>
          <w:vertAlign w:val="superscript"/>
        </w:rPr>
        <w:t>1</w:t>
      </w:r>
      <w:r w:rsidR="00964373" w:rsidRPr="001A6757">
        <w:rPr>
          <w:rFonts w:ascii="Times New Roman" w:eastAsia="Times New Roman" w:hAnsi="Times New Roman" w:cs="Times New Roman"/>
          <w:sz w:val="24"/>
          <w:szCs w:val="24"/>
        </w:rPr>
        <w:t>, G</w:t>
      </w:r>
      <w:r w:rsidR="001A6757">
        <w:rPr>
          <w:rFonts w:ascii="Times New Roman" w:eastAsia="Times New Roman" w:hAnsi="Times New Roman" w:cs="Times New Roman"/>
          <w:sz w:val="24"/>
          <w:szCs w:val="24"/>
        </w:rPr>
        <w:t>uillermo Silva Aguilera</w:t>
      </w:r>
      <w:r w:rsidR="00964373" w:rsidRPr="001A6757">
        <w:rPr>
          <w:rFonts w:ascii="Times New Roman" w:eastAsia="Times New Roman" w:hAnsi="Times New Roman" w:cs="Times New Roman"/>
          <w:sz w:val="24"/>
          <w:szCs w:val="24"/>
          <w:vertAlign w:val="superscript"/>
        </w:rPr>
        <w:t>2</w:t>
      </w:r>
      <w:r w:rsidR="00964373" w:rsidRPr="001A6757">
        <w:rPr>
          <w:rFonts w:ascii="Times New Roman" w:eastAsia="Times New Roman" w:hAnsi="Times New Roman" w:cs="Times New Roman"/>
          <w:sz w:val="24"/>
          <w:szCs w:val="24"/>
        </w:rPr>
        <w:t>, H</w:t>
      </w:r>
      <w:r w:rsidR="001A6757">
        <w:rPr>
          <w:rFonts w:ascii="Times New Roman" w:eastAsia="Times New Roman" w:hAnsi="Times New Roman" w:cs="Times New Roman"/>
          <w:sz w:val="24"/>
          <w:szCs w:val="24"/>
        </w:rPr>
        <w:t>ernán Tala Jury</w:t>
      </w:r>
      <w:r w:rsidR="00964373" w:rsidRPr="001A6757">
        <w:rPr>
          <w:rFonts w:ascii="Times New Roman" w:eastAsia="Times New Roman" w:hAnsi="Times New Roman" w:cs="Times New Roman"/>
          <w:sz w:val="24"/>
          <w:szCs w:val="24"/>
          <w:vertAlign w:val="superscript"/>
        </w:rPr>
        <w:t>1</w:t>
      </w:r>
      <w:r w:rsidR="00964373" w:rsidRPr="001A6757">
        <w:rPr>
          <w:rFonts w:ascii="Times New Roman" w:eastAsia="Times New Roman" w:hAnsi="Times New Roman" w:cs="Times New Roman"/>
          <w:sz w:val="24"/>
          <w:szCs w:val="24"/>
        </w:rPr>
        <w:t>, Elisa DroguettIngus</w:t>
      </w:r>
      <w:r w:rsidR="00964373" w:rsidRPr="001A6757">
        <w:rPr>
          <w:rFonts w:ascii="Times New Roman" w:eastAsia="Times New Roman" w:hAnsi="Times New Roman" w:cs="Times New Roman"/>
          <w:sz w:val="24"/>
          <w:szCs w:val="24"/>
          <w:vertAlign w:val="superscript"/>
        </w:rPr>
        <w:t>1</w:t>
      </w:r>
      <w:r w:rsidR="00964373" w:rsidRPr="001A6757">
        <w:rPr>
          <w:rFonts w:ascii="Times New Roman" w:eastAsia="Times New Roman" w:hAnsi="Times New Roman" w:cs="Times New Roman"/>
          <w:sz w:val="24"/>
          <w:szCs w:val="24"/>
        </w:rPr>
        <w:t>, Claudio Silva Fuente-Alba</w:t>
      </w:r>
      <w:r w:rsidR="00964373" w:rsidRPr="001A6757">
        <w:rPr>
          <w:rFonts w:ascii="Times New Roman" w:eastAsia="Times New Roman" w:hAnsi="Times New Roman" w:cs="Times New Roman"/>
          <w:sz w:val="24"/>
          <w:szCs w:val="24"/>
          <w:vertAlign w:val="superscript"/>
        </w:rPr>
        <w:t>2</w:t>
      </w:r>
      <w:r w:rsidR="00964373" w:rsidRPr="001A6757">
        <w:rPr>
          <w:rFonts w:ascii="Times New Roman" w:eastAsia="Times New Roman" w:hAnsi="Times New Roman" w:cs="Times New Roman"/>
          <w:sz w:val="24"/>
          <w:szCs w:val="24"/>
        </w:rPr>
        <w:t>, S</w:t>
      </w:r>
      <w:r w:rsidR="001A6757">
        <w:rPr>
          <w:rFonts w:ascii="Times New Roman" w:eastAsia="Times New Roman" w:hAnsi="Times New Roman" w:cs="Times New Roman"/>
          <w:sz w:val="24"/>
          <w:szCs w:val="24"/>
        </w:rPr>
        <w:t>ergio Majlis Drinberg</w:t>
      </w:r>
      <w:r w:rsidR="00964373" w:rsidRPr="001A6757">
        <w:rPr>
          <w:rFonts w:ascii="Times New Roman" w:eastAsia="Times New Roman" w:hAnsi="Times New Roman" w:cs="Times New Roman"/>
          <w:sz w:val="24"/>
          <w:szCs w:val="24"/>
          <w:vertAlign w:val="superscript"/>
        </w:rPr>
        <w:t>1</w:t>
      </w:r>
      <w:r w:rsidR="00964373" w:rsidRPr="001A6757">
        <w:rPr>
          <w:rFonts w:ascii="Times New Roman" w:eastAsia="Times New Roman" w:hAnsi="Times New Roman" w:cs="Times New Roman"/>
          <w:sz w:val="24"/>
          <w:szCs w:val="24"/>
        </w:rPr>
        <w:t>, S</w:t>
      </w:r>
      <w:r w:rsidR="001A6757">
        <w:rPr>
          <w:rFonts w:ascii="Times New Roman" w:eastAsia="Times New Roman" w:hAnsi="Times New Roman" w:cs="Times New Roman"/>
          <w:sz w:val="24"/>
          <w:szCs w:val="24"/>
        </w:rPr>
        <w:t>koknic Binder Velimir</w:t>
      </w:r>
      <w:r w:rsidR="00964373" w:rsidRPr="001A6757">
        <w:rPr>
          <w:rFonts w:ascii="Times New Roman" w:eastAsia="Times New Roman" w:hAnsi="Times New Roman" w:cs="Times New Roman"/>
          <w:sz w:val="24"/>
          <w:szCs w:val="24"/>
          <w:vertAlign w:val="superscript"/>
        </w:rPr>
        <w:t>2</w:t>
      </w:r>
      <w:r w:rsidR="00964373" w:rsidRPr="001A6757">
        <w:rPr>
          <w:rFonts w:ascii="Times New Roman" w:eastAsia="Times New Roman" w:hAnsi="Times New Roman" w:cs="Times New Roman"/>
          <w:sz w:val="24"/>
          <w:szCs w:val="24"/>
        </w:rPr>
        <w:t>, Jeannie</w:t>
      </w:r>
      <w:r w:rsidR="001A6757">
        <w:rPr>
          <w:rFonts w:ascii="Times New Roman" w:eastAsia="Times New Roman" w:hAnsi="Times New Roman" w:cs="Times New Roman"/>
          <w:sz w:val="24"/>
          <w:szCs w:val="24"/>
        </w:rPr>
        <w:t xml:space="preserve"> </w:t>
      </w:r>
      <w:r w:rsidR="00964373" w:rsidRPr="001A6757">
        <w:rPr>
          <w:rFonts w:ascii="Times New Roman" w:eastAsia="Times New Roman" w:hAnsi="Times New Roman" w:cs="Times New Roman"/>
          <w:sz w:val="24"/>
          <w:szCs w:val="24"/>
        </w:rPr>
        <w:t>Slater Morales</w:t>
      </w:r>
      <w:r w:rsidR="00964373" w:rsidRPr="001A6757">
        <w:rPr>
          <w:rFonts w:ascii="Times New Roman" w:eastAsia="Times New Roman" w:hAnsi="Times New Roman" w:cs="Times New Roman"/>
          <w:sz w:val="24"/>
          <w:szCs w:val="24"/>
          <w:vertAlign w:val="superscript"/>
        </w:rPr>
        <w:t>1</w:t>
      </w:r>
      <w:r w:rsidR="00964373" w:rsidRPr="001A6757">
        <w:rPr>
          <w:rFonts w:ascii="Times New Roman" w:eastAsia="Times New Roman" w:hAnsi="Times New Roman" w:cs="Times New Roman"/>
          <w:sz w:val="24"/>
          <w:szCs w:val="24"/>
        </w:rPr>
        <w:br/>
      </w:r>
      <w:r w:rsidR="00964373" w:rsidRPr="001A6757">
        <w:rPr>
          <w:rFonts w:ascii="Times New Roman" w:eastAsia="Times New Roman" w:hAnsi="Times New Roman" w:cs="Times New Roman"/>
          <w:sz w:val="24"/>
          <w:szCs w:val="24"/>
          <w:vertAlign w:val="superscript"/>
        </w:rPr>
        <w:t>1</w:t>
      </w:r>
      <w:r w:rsidR="00964373" w:rsidRPr="001A6757">
        <w:rPr>
          <w:rFonts w:ascii="Times New Roman" w:eastAsia="Times New Roman" w:hAnsi="Times New Roman" w:cs="Times New Roman"/>
          <w:sz w:val="24"/>
          <w:szCs w:val="24"/>
        </w:rPr>
        <w:t>Clínica Alemana de Santiago</w:t>
      </w:r>
      <w:r w:rsidR="001A6757">
        <w:rPr>
          <w:rFonts w:ascii="Times New Roman" w:eastAsia="Times New Roman" w:hAnsi="Times New Roman" w:cs="Times New Roman"/>
          <w:sz w:val="24"/>
          <w:szCs w:val="24"/>
        </w:rPr>
        <w:t xml:space="preserve">, </w:t>
      </w:r>
      <w:r w:rsidR="00964373" w:rsidRPr="001A6757">
        <w:rPr>
          <w:rFonts w:ascii="Times New Roman" w:eastAsia="Times New Roman" w:hAnsi="Times New Roman" w:cs="Times New Roman"/>
          <w:sz w:val="24"/>
          <w:szCs w:val="24"/>
          <w:vertAlign w:val="superscript"/>
        </w:rPr>
        <w:t>2</w:t>
      </w:r>
      <w:r w:rsidR="00964373" w:rsidRPr="001A6757">
        <w:rPr>
          <w:rFonts w:ascii="Times New Roman" w:eastAsia="Times New Roman" w:hAnsi="Times New Roman" w:cs="Times New Roman"/>
          <w:sz w:val="24"/>
          <w:szCs w:val="24"/>
        </w:rPr>
        <w:t>Clínica Alemana de Santiago, Universidad del Desarrollo</w:t>
      </w:r>
      <w:r w:rsidR="00964373" w:rsidRPr="001A6757">
        <w:rPr>
          <w:rFonts w:ascii="Times New Roman" w:eastAsia="Times New Roman" w:hAnsi="Times New Roman" w:cs="Times New Roman"/>
          <w:sz w:val="24"/>
          <w:szCs w:val="24"/>
        </w:rPr>
        <w:br/>
      </w:r>
    </w:p>
    <w:p w:rsidR="00E1344A" w:rsidRPr="001A6757" w:rsidRDefault="001A6757" w:rsidP="001A6757">
      <w:pPr>
        <w:pStyle w:val="NormalWeb"/>
        <w:spacing w:before="0" w:beforeAutospacing="0" w:after="0" w:afterAutospacing="0"/>
        <w:jc w:val="both"/>
      </w:pPr>
      <w:r>
        <w:rPr>
          <w:rStyle w:val="Textoennegrita"/>
        </w:rPr>
        <w:t>Objetivo</w:t>
      </w:r>
      <w:r w:rsidR="00964373" w:rsidRPr="001A6757">
        <w:rPr>
          <w:rStyle w:val="Textoennegrita"/>
        </w:rPr>
        <w:t xml:space="preserve">: </w:t>
      </w:r>
    </w:p>
    <w:p w:rsidR="00E1344A" w:rsidRPr="001A6757" w:rsidRDefault="00964373" w:rsidP="001A6757">
      <w:pPr>
        <w:pStyle w:val="NormalWeb"/>
        <w:spacing w:before="0" w:beforeAutospacing="0" w:after="0" w:afterAutospacing="0"/>
        <w:jc w:val="both"/>
      </w:pPr>
      <w:r w:rsidRPr="001A6757">
        <w:t>La ultrasonografía del cáncer papilar de la tiroides es conocida, describiéndose un nódulo sólido, irregular, hipoecogénico, vascularizado, que puede presentar calcificaciones. No obstante, no todos poseen este aspecto, pudiendo ser clasificados incorrectamente. El objetivo es analizar los CPT no convencionales en US, comparándolos con el grupo de casos típicos y describir sus características.</w:t>
      </w:r>
    </w:p>
    <w:p w:rsidR="00E1344A" w:rsidRPr="001A6757" w:rsidRDefault="001A6757" w:rsidP="001A6757">
      <w:pPr>
        <w:pStyle w:val="NormalWeb"/>
        <w:spacing w:before="0" w:beforeAutospacing="0" w:after="0" w:afterAutospacing="0"/>
        <w:jc w:val="both"/>
      </w:pPr>
      <w:r>
        <w:rPr>
          <w:rStyle w:val="Textoennegrita"/>
        </w:rPr>
        <w:t>Diseño</w:t>
      </w:r>
      <w:r w:rsidR="00964373" w:rsidRPr="001A6757">
        <w:rPr>
          <w:rStyle w:val="Textoennegrita"/>
        </w:rPr>
        <w:t xml:space="preserve">: </w:t>
      </w:r>
      <w:r w:rsidR="00964373" w:rsidRPr="001A6757">
        <w:t>Estudio Retrospectivo.</w:t>
      </w:r>
    </w:p>
    <w:p w:rsidR="00E1344A" w:rsidRPr="001A6757" w:rsidRDefault="001A6757" w:rsidP="001A6757">
      <w:pPr>
        <w:pStyle w:val="NormalWeb"/>
        <w:spacing w:before="0" w:beforeAutospacing="0" w:after="0" w:afterAutospacing="0"/>
        <w:jc w:val="both"/>
      </w:pPr>
      <w:r>
        <w:rPr>
          <w:rStyle w:val="Textoennegrita"/>
        </w:rPr>
        <w:t>Material y Método</w:t>
      </w:r>
      <w:r w:rsidR="00964373" w:rsidRPr="001A6757">
        <w:rPr>
          <w:rStyle w:val="Textoennegrita"/>
        </w:rPr>
        <w:t xml:space="preserve">: </w:t>
      </w:r>
    </w:p>
    <w:p w:rsidR="00E1344A" w:rsidRPr="001A6757" w:rsidRDefault="00964373" w:rsidP="001A6757">
      <w:pPr>
        <w:pStyle w:val="NormalWeb"/>
        <w:spacing w:before="0" w:beforeAutospacing="0" w:after="0" w:afterAutospacing="0"/>
        <w:jc w:val="both"/>
      </w:pPr>
      <w:r w:rsidRPr="001A6757">
        <w:t>Tiroidectomías entre 2013 y 2016 con resultado de CPT. Se excluyeron microcarcinomas incidentales sin representación en US y casos sin registro ecográfico en PACS. Se separaron los CPT clásicos (Grupo A) y seleccionaron los que no mostraron patrón típico (Grupo B). Se compararon según edad, género, tamaño, subtipo histológico y asociación con tiroiditis de Hashimoto (TH). Se describieron las características US dominantes en el grupo B. Se evaluó normalidad de variables mediante Shapiro-Wilk. Las variables cualitativas fueron comparadas por chi-2 y las cuantitativas se analizaron usando t de Student o pruebas de Wilcoxon-Mann-Whitney.</w:t>
      </w:r>
    </w:p>
    <w:p w:rsidR="00E1344A" w:rsidRPr="001A6757" w:rsidRDefault="00964373" w:rsidP="001A6757">
      <w:pPr>
        <w:pStyle w:val="NormalWeb"/>
        <w:spacing w:before="0" w:beforeAutospacing="0" w:after="0" w:afterAutospacing="0"/>
        <w:jc w:val="both"/>
      </w:pPr>
      <w:r w:rsidRPr="001A6757">
        <w:rPr>
          <w:rStyle w:val="Textoennegrita"/>
        </w:rPr>
        <w:t>R</w:t>
      </w:r>
      <w:r w:rsidR="001A6757">
        <w:rPr>
          <w:rStyle w:val="Textoennegrita"/>
        </w:rPr>
        <w:t>esultados:</w:t>
      </w:r>
    </w:p>
    <w:p w:rsidR="00E1344A" w:rsidRPr="001A6757" w:rsidRDefault="00964373" w:rsidP="001A6757">
      <w:pPr>
        <w:pStyle w:val="NormalWeb"/>
        <w:spacing w:before="0" w:beforeAutospacing="0" w:after="0" w:afterAutospacing="0"/>
        <w:jc w:val="both"/>
      </w:pPr>
      <w:r w:rsidRPr="001A6757">
        <w:t>Se diagnosticaron 453 CPT en tiroidectomías que cumplen los criterios de inclusión. El patrón no convencional se presentó en 51 casos (11,2%); 19 hombres (38%) y 32 mujeres con una mediana de edad de 41 años (14-68). La mediana de tamaño fue de 14 mm (5-50 mm), y 32(63%) tenían más de 10 mm. Un 27% se asoció con TH. La Tabla 1 compara los datos de los Grupos. Se detectó una diferencia significativa con una mayor asociación a lesiones de mayor tamaño en patrón no-convencional (p&lt;0.001), y mayor frecuencia del CPT variante folicular, especialmente en hombres.</w:t>
      </w:r>
    </w:p>
    <w:p w:rsidR="00E1344A" w:rsidRPr="001A6757" w:rsidRDefault="00964373" w:rsidP="001A6757">
      <w:pPr>
        <w:pStyle w:val="NormalWeb"/>
        <w:spacing w:before="0" w:beforeAutospacing="0" w:after="0" w:afterAutospacing="0"/>
        <w:jc w:val="both"/>
      </w:pPr>
      <w:r w:rsidRPr="001A6757">
        <w:t>En el grupo B se observaron las siguientes características dominantes: estructura mixta sólida-</w:t>
      </w:r>
      <w:r w:rsidR="001A6757" w:rsidRPr="001A6757">
        <w:t>quística</w:t>
      </w:r>
      <w:r w:rsidRPr="001A6757">
        <w:t xml:space="preserve">, similar al nódulo coloideo pero sin spots hiperecogénicos 23(45%), isoecogenicidad: 19(37%) y presencia de cápsula: 20(40%) que fueron compartidas en la mayoría de los casos, con o sin asociación a calcificaciones. Hemos encontrado microcalcificaciones agrupadas sin nódulo asociado en 6 casos (12%). </w:t>
      </w:r>
    </w:p>
    <w:p w:rsidR="00E1344A" w:rsidRPr="001A6757" w:rsidRDefault="00964373" w:rsidP="001A6757">
      <w:pPr>
        <w:pStyle w:val="NormalWeb"/>
        <w:spacing w:before="0" w:beforeAutospacing="0" w:after="0" w:afterAutospacing="0"/>
        <w:jc w:val="both"/>
      </w:pPr>
      <w:r w:rsidRPr="001A6757">
        <w:rPr>
          <w:rStyle w:val="Textoennegrita"/>
        </w:rPr>
        <w:t>C</w:t>
      </w:r>
      <w:r w:rsidR="001A6757">
        <w:rPr>
          <w:rStyle w:val="Textoennegrita"/>
        </w:rPr>
        <w:t>onclusiones:</w:t>
      </w:r>
    </w:p>
    <w:p w:rsidR="00E1344A" w:rsidRPr="001A6757" w:rsidRDefault="00964373" w:rsidP="001A6757">
      <w:pPr>
        <w:pStyle w:val="NormalWeb"/>
        <w:spacing w:before="0" w:beforeAutospacing="0" w:after="0" w:afterAutospacing="0"/>
        <w:jc w:val="both"/>
      </w:pPr>
      <w:r w:rsidRPr="001A6757">
        <w:t>Un 11,2% de los CPT tiene aspecto ecográfico no convencional. Es importante reconocer las características descritas como potencialmente dudosas para recomendar PAAF oportunamente, ya que un 63% de ellos son macrocarcinomas.</w:t>
      </w:r>
    </w:p>
    <w:tbl>
      <w:tblPr>
        <w:tblW w:w="0" w:type="dxa"/>
        <w:tblCellSpacing w:w="15" w:type="dxa"/>
        <w:tblCellMar>
          <w:top w:w="15" w:type="dxa"/>
          <w:left w:w="15" w:type="dxa"/>
          <w:bottom w:w="15" w:type="dxa"/>
          <w:right w:w="15" w:type="dxa"/>
        </w:tblCellMar>
        <w:tblLook w:val="04A0"/>
      </w:tblPr>
      <w:tblGrid>
        <w:gridCol w:w="3201"/>
        <w:gridCol w:w="1614"/>
        <w:gridCol w:w="1614"/>
        <w:gridCol w:w="957"/>
      </w:tblGrid>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Tabla 1</w:t>
            </w:r>
          </w:p>
        </w:tc>
        <w:tc>
          <w:tcPr>
            <w:tcW w:w="1584"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Grupo A</w:t>
            </w:r>
          </w:p>
        </w:tc>
        <w:tc>
          <w:tcPr>
            <w:tcW w:w="1584"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Grupo B</w:t>
            </w:r>
          </w:p>
        </w:tc>
        <w:tc>
          <w:tcPr>
            <w:tcW w:w="912"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p</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N</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402</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51</w:t>
            </w: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Género</w:t>
            </w:r>
          </w:p>
        </w:tc>
        <w:tc>
          <w:tcPr>
            <w:tcW w:w="1584" w:type="dxa"/>
            <w:vAlign w:val="center"/>
            <w:hideMark/>
          </w:tcPr>
          <w:p w:rsidR="00E1344A" w:rsidRDefault="00E1344A" w:rsidP="001A6757">
            <w:pPr>
              <w:spacing w:after="0" w:line="240" w:lineRule="auto"/>
              <w:rPr>
                <w:rFonts w:eastAsia="Times New Roman"/>
                <w:sz w:val="16"/>
                <w:szCs w:val="16"/>
              </w:rPr>
            </w:pPr>
          </w:p>
        </w:tc>
        <w:tc>
          <w:tcPr>
            <w:tcW w:w="1584" w:type="dxa"/>
            <w:vAlign w:val="center"/>
            <w:hideMark/>
          </w:tcPr>
          <w:p w:rsidR="00E1344A" w:rsidRDefault="00E1344A" w:rsidP="001A6757">
            <w:pPr>
              <w:spacing w:after="0" w:line="240" w:lineRule="auto"/>
              <w:rPr>
                <w:rFonts w:eastAsia="Times New Roman"/>
                <w:sz w:val="16"/>
                <w:szCs w:val="16"/>
              </w:rPr>
            </w:pP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Mujeres</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310/402 (77%)</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32/51 (63%)</w:t>
            </w:r>
          </w:p>
        </w:tc>
        <w:tc>
          <w:tcPr>
            <w:tcW w:w="912" w:type="dxa"/>
            <w:vMerge w:val="restart"/>
            <w:vAlign w:val="center"/>
            <w:hideMark/>
          </w:tcPr>
          <w:p w:rsidR="00E1344A" w:rsidRDefault="00964373" w:rsidP="001A6757">
            <w:pPr>
              <w:pStyle w:val="NormalWeb"/>
              <w:spacing w:before="0" w:beforeAutospacing="0" w:after="0" w:afterAutospacing="0"/>
              <w:rPr>
                <w:sz w:val="16"/>
                <w:szCs w:val="16"/>
              </w:rPr>
            </w:pPr>
            <w:r>
              <w:rPr>
                <w:sz w:val="16"/>
                <w:szCs w:val="16"/>
              </w:rPr>
              <w:t>0.025</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Hombres</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92/402 (23%)</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19/51 (37%)</w:t>
            </w:r>
          </w:p>
        </w:tc>
        <w:tc>
          <w:tcPr>
            <w:tcW w:w="0" w:type="auto"/>
            <w:vMerge/>
            <w:vAlign w:val="center"/>
            <w:hideMark/>
          </w:tcPr>
          <w:p w:rsidR="00E1344A" w:rsidRDefault="00E1344A" w:rsidP="001A6757">
            <w:pPr>
              <w:spacing w:after="0" w:line="240" w:lineRule="auto"/>
              <w:rPr>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Edad (años)</w:t>
            </w:r>
          </w:p>
        </w:tc>
        <w:tc>
          <w:tcPr>
            <w:tcW w:w="1584" w:type="dxa"/>
            <w:vAlign w:val="center"/>
            <w:hideMark/>
          </w:tcPr>
          <w:p w:rsidR="00E1344A" w:rsidRDefault="00E1344A" w:rsidP="001A6757">
            <w:pPr>
              <w:spacing w:after="0" w:line="240" w:lineRule="auto"/>
              <w:rPr>
                <w:rFonts w:eastAsia="Times New Roman"/>
                <w:sz w:val="16"/>
                <w:szCs w:val="16"/>
              </w:rPr>
            </w:pPr>
          </w:p>
        </w:tc>
        <w:tc>
          <w:tcPr>
            <w:tcW w:w="1584" w:type="dxa"/>
            <w:vAlign w:val="center"/>
            <w:hideMark/>
          </w:tcPr>
          <w:p w:rsidR="00E1344A" w:rsidRDefault="00E1344A" w:rsidP="001A6757">
            <w:pPr>
              <w:spacing w:after="0" w:line="240" w:lineRule="auto"/>
              <w:rPr>
                <w:rFonts w:eastAsia="Times New Roman"/>
                <w:sz w:val="16"/>
                <w:szCs w:val="16"/>
              </w:rPr>
            </w:pP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Promedio (DS)</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43.4 (0.64)</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40.7 (2.05)</w:t>
            </w:r>
          </w:p>
        </w:tc>
        <w:tc>
          <w:tcPr>
            <w:tcW w:w="912" w:type="dxa"/>
            <w:vAlign w:val="center"/>
            <w:hideMark/>
          </w:tcPr>
          <w:p w:rsidR="00E1344A" w:rsidRDefault="00964373" w:rsidP="001A6757">
            <w:pPr>
              <w:pStyle w:val="NormalWeb"/>
              <w:spacing w:before="0" w:beforeAutospacing="0" w:after="0" w:afterAutospacing="0"/>
              <w:rPr>
                <w:sz w:val="16"/>
                <w:szCs w:val="16"/>
              </w:rPr>
            </w:pPr>
            <w:r>
              <w:rPr>
                <w:sz w:val="16"/>
                <w:szCs w:val="16"/>
              </w:rPr>
              <w:t>0.17</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Tamaño (mm)</w:t>
            </w:r>
          </w:p>
        </w:tc>
        <w:tc>
          <w:tcPr>
            <w:tcW w:w="1584" w:type="dxa"/>
            <w:vAlign w:val="center"/>
            <w:hideMark/>
          </w:tcPr>
          <w:p w:rsidR="00E1344A" w:rsidRDefault="00E1344A" w:rsidP="001A6757">
            <w:pPr>
              <w:spacing w:after="0" w:line="240" w:lineRule="auto"/>
              <w:rPr>
                <w:rFonts w:eastAsia="Times New Roman"/>
                <w:sz w:val="16"/>
                <w:szCs w:val="16"/>
              </w:rPr>
            </w:pPr>
          </w:p>
        </w:tc>
        <w:tc>
          <w:tcPr>
            <w:tcW w:w="1584" w:type="dxa"/>
            <w:vAlign w:val="center"/>
            <w:hideMark/>
          </w:tcPr>
          <w:p w:rsidR="00E1344A" w:rsidRDefault="00E1344A" w:rsidP="001A6757">
            <w:pPr>
              <w:spacing w:after="0" w:line="240" w:lineRule="auto"/>
              <w:rPr>
                <w:rFonts w:eastAsia="Times New Roman"/>
                <w:sz w:val="16"/>
                <w:szCs w:val="16"/>
              </w:rPr>
            </w:pP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Mediana</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8</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14</w:t>
            </w:r>
          </w:p>
        </w:tc>
        <w:tc>
          <w:tcPr>
            <w:tcW w:w="912" w:type="dxa"/>
            <w:vMerge w:val="restart"/>
            <w:vAlign w:val="center"/>
            <w:hideMark/>
          </w:tcPr>
          <w:p w:rsidR="00E1344A" w:rsidRDefault="00964373" w:rsidP="001A6757">
            <w:pPr>
              <w:pStyle w:val="NormalWeb"/>
              <w:spacing w:before="0" w:beforeAutospacing="0" w:after="0" w:afterAutospacing="0"/>
              <w:rPr>
                <w:sz w:val="16"/>
                <w:szCs w:val="16"/>
              </w:rPr>
            </w:pPr>
            <w:r>
              <w:rPr>
                <w:sz w:val="16"/>
                <w:szCs w:val="16"/>
              </w:rPr>
              <w:t>&lt;0.001</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Rango intercuartil</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5-12</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9-23</w:t>
            </w:r>
          </w:p>
        </w:tc>
        <w:tc>
          <w:tcPr>
            <w:tcW w:w="0" w:type="auto"/>
            <w:vMerge/>
            <w:vAlign w:val="center"/>
            <w:hideMark/>
          </w:tcPr>
          <w:p w:rsidR="00E1344A" w:rsidRDefault="00E1344A" w:rsidP="001A6757">
            <w:pPr>
              <w:spacing w:after="0" w:line="240" w:lineRule="auto"/>
              <w:rPr>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Rango mediciones</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(2-44)</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(5-50)</w:t>
            </w:r>
          </w:p>
        </w:tc>
        <w:tc>
          <w:tcPr>
            <w:tcW w:w="0" w:type="auto"/>
            <w:vMerge/>
            <w:vAlign w:val="center"/>
            <w:hideMark/>
          </w:tcPr>
          <w:p w:rsidR="00E1344A" w:rsidRDefault="00E1344A" w:rsidP="001A6757">
            <w:pPr>
              <w:spacing w:after="0" w:line="240" w:lineRule="auto"/>
              <w:rPr>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Macrocarcinomas (&gt;10 mm)</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128/402 (68%)</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32/51 (63%)</w:t>
            </w: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TH</w:t>
            </w:r>
          </w:p>
        </w:tc>
        <w:tc>
          <w:tcPr>
            <w:tcW w:w="1584" w:type="dxa"/>
            <w:vAlign w:val="center"/>
            <w:hideMark/>
          </w:tcPr>
          <w:p w:rsidR="00E1344A" w:rsidRDefault="00E1344A" w:rsidP="001A6757">
            <w:pPr>
              <w:spacing w:after="0" w:line="240" w:lineRule="auto"/>
              <w:rPr>
                <w:rFonts w:eastAsia="Times New Roman"/>
                <w:sz w:val="16"/>
                <w:szCs w:val="16"/>
              </w:rPr>
            </w:pPr>
          </w:p>
        </w:tc>
        <w:tc>
          <w:tcPr>
            <w:tcW w:w="1584" w:type="dxa"/>
            <w:vAlign w:val="center"/>
            <w:hideMark/>
          </w:tcPr>
          <w:p w:rsidR="00E1344A" w:rsidRDefault="00E1344A" w:rsidP="001A6757">
            <w:pPr>
              <w:spacing w:after="0" w:line="240" w:lineRule="auto"/>
              <w:rPr>
                <w:rFonts w:eastAsia="Times New Roman"/>
                <w:sz w:val="16"/>
                <w:szCs w:val="16"/>
              </w:rPr>
            </w:pP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E1344A" w:rsidP="001A6757">
            <w:pPr>
              <w:spacing w:after="0" w:line="240" w:lineRule="auto"/>
              <w:rPr>
                <w:rFonts w:eastAsia="Times New Roman"/>
                <w:sz w:val="16"/>
                <w:szCs w:val="16"/>
              </w:rPr>
            </w:pP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139/402 (35%)</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14/51 (27%)</w:t>
            </w:r>
          </w:p>
        </w:tc>
        <w:tc>
          <w:tcPr>
            <w:tcW w:w="912" w:type="dxa"/>
            <w:vAlign w:val="center"/>
            <w:hideMark/>
          </w:tcPr>
          <w:p w:rsidR="00E1344A" w:rsidRDefault="00964373" w:rsidP="001A6757">
            <w:pPr>
              <w:pStyle w:val="NormalWeb"/>
              <w:spacing w:before="0" w:beforeAutospacing="0" w:after="0" w:afterAutospacing="0"/>
              <w:rPr>
                <w:sz w:val="16"/>
                <w:szCs w:val="16"/>
              </w:rPr>
            </w:pPr>
            <w:r>
              <w:rPr>
                <w:sz w:val="16"/>
                <w:szCs w:val="16"/>
              </w:rPr>
              <w:t>0.31</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rStyle w:val="Textoennegrita"/>
                <w:sz w:val="16"/>
                <w:szCs w:val="16"/>
              </w:rPr>
              <w:t>Subtipo histológico</w:t>
            </w:r>
          </w:p>
        </w:tc>
        <w:tc>
          <w:tcPr>
            <w:tcW w:w="1584" w:type="dxa"/>
            <w:vAlign w:val="center"/>
            <w:hideMark/>
          </w:tcPr>
          <w:p w:rsidR="00E1344A" w:rsidRDefault="00E1344A" w:rsidP="001A6757">
            <w:pPr>
              <w:spacing w:after="0" w:line="240" w:lineRule="auto"/>
              <w:rPr>
                <w:rFonts w:eastAsia="Times New Roman"/>
                <w:sz w:val="16"/>
                <w:szCs w:val="16"/>
              </w:rPr>
            </w:pPr>
          </w:p>
        </w:tc>
        <w:tc>
          <w:tcPr>
            <w:tcW w:w="1584" w:type="dxa"/>
            <w:vAlign w:val="center"/>
            <w:hideMark/>
          </w:tcPr>
          <w:p w:rsidR="00E1344A" w:rsidRDefault="00E1344A" w:rsidP="001A6757">
            <w:pPr>
              <w:spacing w:after="0" w:line="240" w:lineRule="auto"/>
              <w:rPr>
                <w:rFonts w:eastAsia="Times New Roman"/>
                <w:sz w:val="16"/>
                <w:szCs w:val="16"/>
              </w:rPr>
            </w:pPr>
          </w:p>
        </w:tc>
        <w:tc>
          <w:tcPr>
            <w:tcW w:w="912" w:type="dxa"/>
            <w:vAlign w:val="center"/>
            <w:hideMark/>
          </w:tcPr>
          <w:p w:rsidR="00E1344A" w:rsidRDefault="00E1344A" w:rsidP="001A6757">
            <w:pPr>
              <w:spacing w:after="0" w:line="240" w:lineRule="auto"/>
              <w:rPr>
                <w:rFonts w:eastAsia="Times New Roman"/>
                <w:sz w:val="16"/>
                <w:szCs w:val="16"/>
              </w:rPr>
            </w:pP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Clásico</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293/402 (73%)</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32/51 (63%)</w:t>
            </w:r>
          </w:p>
        </w:tc>
        <w:tc>
          <w:tcPr>
            <w:tcW w:w="912" w:type="dxa"/>
            <w:vAlign w:val="center"/>
            <w:hideMark/>
          </w:tcPr>
          <w:p w:rsidR="00E1344A" w:rsidRDefault="00964373" w:rsidP="001A6757">
            <w:pPr>
              <w:pStyle w:val="NormalWeb"/>
              <w:spacing w:before="0" w:beforeAutospacing="0" w:after="0" w:afterAutospacing="0"/>
              <w:rPr>
                <w:sz w:val="16"/>
                <w:szCs w:val="16"/>
              </w:rPr>
            </w:pPr>
            <w:r>
              <w:rPr>
                <w:sz w:val="16"/>
                <w:szCs w:val="16"/>
              </w:rPr>
              <w:t>0.12</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V. Folicular</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68/402 (17%)</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17/51 (33%)</w:t>
            </w:r>
          </w:p>
        </w:tc>
        <w:tc>
          <w:tcPr>
            <w:tcW w:w="912" w:type="dxa"/>
            <w:vAlign w:val="center"/>
            <w:hideMark/>
          </w:tcPr>
          <w:p w:rsidR="00E1344A" w:rsidRDefault="00964373" w:rsidP="001A6757">
            <w:pPr>
              <w:pStyle w:val="NormalWeb"/>
              <w:spacing w:before="0" w:beforeAutospacing="0" w:after="0" w:afterAutospacing="0"/>
              <w:rPr>
                <w:sz w:val="16"/>
                <w:szCs w:val="16"/>
              </w:rPr>
            </w:pPr>
            <w:r>
              <w:rPr>
                <w:sz w:val="16"/>
                <w:szCs w:val="16"/>
              </w:rPr>
              <w:t>&lt;0.01</w:t>
            </w:r>
          </w:p>
        </w:tc>
      </w:tr>
      <w:tr w:rsidR="00E1344A">
        <w:trPr>
          <w:tblCellSpacing w:w="15" w:type="dxa"/>
        </w:trPr>
        <w:tc>
          <w:tcPr>
            <w:tcW w:w="3156" w:type="dxa"/>
            <w:vAlign w:val="center"/>
            <w:hideMark/>
          </w:tcPr>
          <w:p w:rsidR="00E1344A" w:rsidRDefault="00964373" w:rsidP="001A6757">
            <w:pPr>
              <w:pStyle w:val="NormalWeb"/>
              <w:spacing w:before="0" w:beforeAutospacing="0" w:after="0" w:afterAutospacing="0"/>
              <w:rPr>
                <w:sz w:val="16"/>
                <w:szCs w:val="16"/>
              </w:rPr>
            </w:pPr>
            <w:r>
              <w:rPr>
                <w:sz w:val="16"/>
                <w:szCs w:val="16"/>
              </w:rPr>
              <w:t>Células altas</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27 (6,7%)</w:t>
            </w:r>
          </w:p>
        </w:tc>
        <w:tc>
          <w:tcPr>
            <w:tcW w:w="1584" w:type="dxa"/>
            <w:vAlign w:val="center"/>
            <w:hideMark/>
          </w:tcPr>
          <w:p w:rsidR="00E1344A" w:rsidRDefault="00964373" w:rsidP="001A6757">
            <w:pPr>
              <w:pStyle w:val="NormalWeb"/>
              <w:spacing w:before="0" w:beforeAutospacing="0" w:after="0" w:afterAutospacing="0"/>
              <w:rPr>
                <w:sz w:val="16"/>
                <w:szCs w:val="16"/>
              </w:rPr>
            </w:pPr>
            <w:r>
              <w:rPr>
                <w:sz w:val="16"/>
                <w:szCs w:val="16"/>
              </w:rPr>
              <w:t>2 (4%)</w:t>
            </w:r>
          </w:p>
        </w:tc>
        <w:tc>
          <w:tcPr>
            <w:tcW w:w="912" w:type="dxa"/>
            <w:vAlign w:val="center"/>
            <w:hideMark/>
          </w:tcPr>
          <w:p w:rsidR="00E1344A" w:rsidRDefault="00964373" w:rsidP="001A6757">
            <w:pPr>
              <w:pStyle w:val="NormalWeb"/>
              <w:spacing w:before="0" w:beforeAutospacing="0" w:after="0" w:afterAutospacing="0"/>
              <w:rPr>
                <w:sz w:val="16"/>
                <w:szCs w:val="16"/>
              </w:rPr>
            </w:pPr>
            <w:r>
              <w:rPr>
                <w:sz w:val="16"/>
                <w:szCs w:val="16"/>
              </w:rPr>
              <w:t>0.44</w:t>
            </w:r>
          </w:p>
        </w:tc>
      </w:tr>
    </w:tbl>
    <w:p w:rsidR="00964373" w:rsidRDefault="00964373" w:rsidP="001A6757">
      <w:pPr>
        <w:spacing w:after="0" w:line="240" w:lineRule="auto"/>
        <w:rPr>
          <w:rFonts w:eastAsia="Times New Roman"/>
        </w:rPr>
      </w:pPr>
    </w:p>
    <w:sectPr w:rsidR="00964373" w:rsidSect="00E1344A">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74806"/>
    <w:rsid w:val="00085155"/>
    <w:rsid w:val="001A6757"/>
    <w:rsid w:val="00474806"/>
    <w:rsid w:val="00595A71"/>
    <w:rsid w:val="00964373"/>
    <w:rsid w:val="00B97611"/>
    <w:rsid w:val="00E1344A"/>
    <w:rsid w:val="00FD21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344A"/>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E13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2017-08-28T13:17:00Z</cp:lastPrinted>
  <dcterms:created xsi:type="dcterms:W3CDTF">2017-10-08T21:59:00Z</dcterms:created>
  <dcterms:modified xsi:type="dcterms:W3CDTF">2017-10-08T21:59:00Z</dcterms:modified>
</cp:coreProperties>
</file>