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F5" w:rsidRDefault="00400A81" w:rsidP="00D551F5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92</w:t>
      </w:r>
      <w:r w:rsidR="00EC1A23">
        <w:rPr>
          <w:rFonts w:eastAsia="Times New Roman"/>
          <w:b/>
          <w:bCs/>
        </w:rPr>
        <w:br/>
        <w:t>INSENSIBILIDAD A ANDRÓGENOS: A PROPÓSITO DE DOS CASOS</w:t>
      </w:r>
    </w:p>
    <w:p w:rsidR="00D551F5" w:rsidRPr="00D551F5" w:rsidRDefault="00EC1A23" w:rsidP="00D5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51F5">
        <w:rPr>
          <w:rFonts w:ascii="Times New Roman" w:eastAsia="Times New Roman" w:hAnsi="Times New Roman" w:cs="Times New Roman"/>
          <w:sz w:val="24"/>
          <w:szCs w:val="24"/>
        </w:rPr>
        <w:t>C</w:t>
      </w:r>
      <w:r w:rsidR="00D551F5">
        <w:rPr>
          <w:rFonts w:ascii="Times New Roman" w:eastAsia="Times New Roman" w:hAnsi="Times New Roman" w:cs="Times New Roman"/>
          <w:sz w:val="24"/>
          <w:szCs w:val="24"/>
        </w:rPr>
        <w:t>arola Goecke Hochberger</w:t>
      </w:r>
      <w:r w:rsidRPr="00D551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551F5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D551F5">
        <w:rPr>
          <w:rFonts w:ascii="Times New Roman" w:eastAsia="Times New Roman" w:hAnsi="Times New Roman" w:cs="Times New Roman"/>
          <w:sz w:val="24"/>
          <w:szCs w:val="24"/>
        </w:rPr>
        <w:t>aviera Hansen Salazar</w:t>
      </w:r>
      <w:r w:rsidRPr="00D551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551F5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D551F5">
        <w:rPr>
          <w:rFonts w:ascii="Times New Roman" w:eastAsia="Times New Roman" w:hAnsi="Times New Roman" w:cs="Times New Roman"/>
          <w:sz w:val="24"/>
          <w:szCs w:val="24"/>
        </w:rPr>
        <w:t>ernán García Bruce</w:t>
      </w:r>
      <w:r w:rsidRPr="00D551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51F5">
        <w:rPr>
          <w:rFonts w:ascii="Times New Roman" w:eastAsia="Times New Roman" w:hAnsi="Times New Roman" w:cs="Times New Roman"/>
          <w:sz w:val="24"/>
          <w:szCs w:val="24"/>
        </w:rPr>
        <w:t>, Roxana Marino</w:t>
      </w:r>
      <w:r w:rsidRPr="00D551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551F5">
        <w:rPr>
          <w:rFonts w:ascii="Times New Roman" w:eastAsia="Times New Roman" w:hAnsi="Times New Roman" w:cs="Times New Roman"/>
          <w:sz w:val="24"/>
          <w:szCs w:val="24"/>
        </w:rPr>
        <w:t>, Gabriela Guercio</w:t>
      </w:r>
      <w:r w:rsidRPr="00D551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55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51F5" w:rsidRPr="00D551F5">
        <w:rPr>
          <w:rFonts w:ascii="Times New Roman" w:eastAsia="Times New Roman" w:hAnsi="Times New Roman" w:cs="Times New Roman"/>
          <w:sz w:val="24"/>
          <w:szCs w:val="24"/>
        </w:rPr>
        <w:t>María</w:t>
      </w:r>
      <w:r w:rsidRPr="00D551F5">
        <w:rPr>
          <w:rFonts w:ascii="Times New Roman" w:eastAsia="Times New Roman" w:hAnsi="Times New Roman" w:cs="Times New Roman"/>
          <w:sz w:val="24"/>
          <w:szCs w:val="24"/>
        </w:rPr>
        <w:t xml:space="preserve"> Sol Touzon</w:t>
      </w:r>
      <w:r w:rsidRPr="00D551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551F5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D551F5">
        <w:rPr>
          <w:rFonts w:ascii="Times New Roman" w:eastAsia="Times New Roman" w:hAnsi="Times New Roman" w:cs="Times New Roman"/>
          <w:sz w:val="24"/>
          <w:szCs w:val="24"/>
        </w:rPr>
        <w:t>lejandro Martínez Aguayo</w:t>
      </w:r>
      <w:r w:rsidRPr="00D551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1E0A83" w:rsidRPr="00D551F5" w:rsidRDefault="00EC1A23" w:rsidP="00D5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551F5">
        <w:rPr>
          <w:rFonts w:ascii="Times New Roman" w:eastAsia="Times New Roman" w:hAnsi="Times New Roman" w:cs="Times New Roman"/>
          <w:sz w:val="24"/>
          <w:szCs w:val="24"/>
        </w:rPr>
        <w:t xml:space="preserve">Hospital Clínico Universidad </w:t>
      </w:r>
      <w:r w:rsidR="00D551F5" w:rsidRPr="00D551F5">
        <w:rPr>
          <w:rFonts w:ascii="Times New Roman" w:eastAsia="Times New Roman" w:hAnsi="Times New Roman" w:cs="Times New Roman"/>
          <w:sz w:val="24"/>
          <w:szCs w:val="24"/>
        </w:rPr>
        <w:t>Católica</w:t>
      </w:r>
      <w:r w:rsidRPr="00D55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51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51F5">
        <w:rPr>
          <w:rFonts w:ascii="Times New Roman" w:eastAsia="Times New Roman" w:hAnsi="Times New Roman" w:cs="Times New Roman"/>
          <w:sz w:val="24"/>
          <w:szCs w:val="24"/>
        </w:rPr>
        <w:t xml:space="preserve">Pontificia Universidad Católica de Chile, </w:t>
      </w:r>
      <w:r w:rsidRPr="00D551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551F5">
        <w:rPr>
          <w:rFonts w:ascii="Times New Roman" w:eastAsia="Times New Roman" w:hAnsi="Times New Roman" w:cs="Times New Roman"/>
          <w:sz w:val="24"/>
          <w:szCs w:val="24"/>
        </w:rPr>
        <w:t>Servicio de Endocrinología; Hospital de Pediatría “Prof. Dr. J. P. Garrahan; Buenos Aires, Argentina</w:t>
      </w:r>
      <w:r w:rsidRPr="00D551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0A83" w:rsidRPr="00D551F5" w:rsidRDefault="00EC1A23" w:rsidP="00D551F5">
      <w:pPr>
        <w:pStyle w:val="NormalWeb"/>
        <w:spacing w:before="0" w:beforeAutospacing="0" w:after="0" w:afterAutospacing="0"/>
        <w:jc w:val="both"/>
      </w:pPr>
      <w:r w:rsidRPr="00D551F5">
        <w:rPr>
          <w:rStyle w:val="Textoennegrita"/>
        </w:rPr>
        <w:t xml:space="preserve">Introducción: </w:t>
      </w:r>
      <w:r w:rsidRPr="00D551F5">
        <w:t>El Síndrome de Insensibilidad a Andrógenos (OMIM: AIS, #300068) es la causa más frecuente de Desorden del Desarrollo Sexual (DSD) en sujetos 46, XY. El fenotipo es heterogéneo dependiendo del grado de función residual del receptor de andrógenos (AR) (OMIM: AR, *313700), con fenotipo femenino en los pacientes con Síndrome de Insensibilidad Completa a Andrógenos (CAIS) y variable en casos de Síndrome de Insensibilidad Parcial a Andrógenos (PAIS). Este último presenta considerable dificultad diagnóstica debido a la existencia de múltiples causas asociadas a un fenotipo similar.</w:t>
      </w:r>
    </w:p>
    <w:p w:rsidR="001E0A83" w:rsidRPr="00D551F5" w:rsidRDefault="00EC1A23" w:rsidP="00D551F5">
      <w:pPr>
        <w:pStyle w:val="NormalWeb"/>
        <w:spacing w:before="0" w:beforeAutospacing="0" w:after="0" w:afterAutospacing="0"/>
        <w:jc w:val="both"/>
      </w:pPr>
      <w:r w:rsidRPr="00D551F5">
        <w:rPr>
          <w:rStyle w:val="Textoennegrita"/>
        </w:rPr>
        <w:t>Objetivo</w:t>
      </w:r>
      <w:r w:rsidRPr="00D551F5">
        <w:t xml:space="preserve">: Describir dos sujetos con DSD 46, XY por AIS con diferente presentación </w:t>
      </w:r>
      <w:r w:rsidR="00D551F5" w:rsidRPr="00D551F5">
        <w:t>clínica</w:t>
      </w:r>
      <w:r w:rsidRPr="00D551F5">
        <w:t>.</w:t>
      </w:r>
    </w:p>
    <w:p w:rsidR="001E0A83" w:rsidRPr="00D551F5" w:rsidRDefault="00EC1A23" w:rsidP="00D551F5">
      <w:pPr>
        <w:pStyle w:val="NormalWeb"/>
        <w:spacing w:before="0" w:beforeAutospacing="0" w:after="0" w:afterAutospacing="0"/>
        <w:jc w:val="both"/>
      </w:pPr>
      <w:r w:rsidRPr="00D551F5">
        <w:rPr>
          <w:rStyle w:val="Textoennegrita"/>
        </w:rPr>
        <w:t>Métodos</w:t>
      </w:r>
      <w:r w:rsidRPr="00D551F5">
        <w:t xml:space="preserve">: Se realizó la secuenciación automática de los exones y regiones intrónicas flanqueantes del gen </w:t>
      </w:r>
      <w:r w:rsidRPr="00D551F5">
        <w:rPr>
          <w:rStyle w:val="nfasis"/>
        </w:rPr>
        <w:t>AR</w:t>
      </w:r>
      <w:r w:rsidRPr="00D551F5">
        <w:t xml:space="preserve"> a partir de ADN genómico.</w:t>
      </w:r>
    </w:p>
    <w:p w:rsidR="001E0A83" w:rsidRPr="00D551F5" w:rsidRDefault="00EC1A23" w:rsidP="00D551F5">
      <w:pPr>
        <w:pStyle w:val="NormalWeb"/>
        <w:spacing w:before="0" w:beforeAutospacing="0" w:after="0" w:afterAutospacing="0"/>
        <w:jc w:val="both"/>
      </w:pPr>
      <w:r w:rsidRPr="00D551F5">
        <w:rPr>
          <w:rStyle w:val="Textoennegrita"/>
        </w:rPr>
        <w:t>Casos Clínicos</w:t>
      </w:r>
      <w:r w:rsidRPr="00D551F5">
        <w:t>:</w:t>
      </w:r>
    </w:p>
    <w:p w:rsidR="001E0A83" w:rsidRPr="00D551F5" w:rsidRDefault="00EC1A23" w:rsidP="00D551F5">
      <w:pPr>
        <w:pStyle w:val="NormalWeb"/>
        <w:spacing w:before="0" w:beforeAutospacing="0" w:after="0" w:afterAutospacing="0"/>
        <w:jc w:val="both"/>
      </w:pPr>
      <w:r w:rsidRPr="00D551F5">
        <w:rPr>
          <w:b/>
          <w:u w:val="single"/>
        </w:rPr>
        <w:t>Caso Clínico 1:</w:t>
      </w:r>
      <w:r w:rsidRPr="00D551F5">
        <w:t xml:space="preserve"> Preescolar de 2 años, 2° hijo de padres sanos no consanguíneos, sin antecedentes familiares de importancia. Con hipospadia proximal y criptorquidia izquierda. Examen físico: Falo 2,5 cm, hipospadia perineoescrotal. Relación ano-rafe/ano-base de 0,6. Teste D° en escroto e I° en conducto inguinal (Puntaje de Masculinización Externa 4,5/12). Exámenes: Cariotipo 46, XY. 17OHP 0,21 ng/ml (VR: &lt;6.3 ng/ml). Ecografía abdominal sin restos müllerianos. A los 3 meses: testosterona total (TT) basal 38 ng/dl, post </w:t>
      </w:r>
      <w:proofErr w:type="spellStart"/>
      <w:r w:rsidRPr="00D551F5">
        <w:t>bhCG</w:t>
      </w:r>
      <w:proofErr w:type="spellEnd"/>
      <w:r w:rsidRPr="00D551F5">
        <w:t xml:space="preserve"> 230 ng/dl (respuesta esperada post estímulo &gt; 90 ng/dl). A los 2 años: AMH &gt;46 ng/ml (VR en hombres: 32 – 262 ng/ml). La secuenciación gen </w:t>
      </w:r>
      <w:r w:rsidRPr="00D551F5">
        <w:rPr>
          <w:rStyle w:val="nfasis"/>
        </w:rPr>
        <w:t>AR</w:t>
      </w:r>
      <w:r w:rsidRPr="00D551F5">
        <w:t xml:space="preserve"> mostró una variante patogénica previamente descrita en el exón 8: p.Tyr916His. </w:t>
      </w:r>
    </w:p>
    <w:p w:rsidR="001E0A83" w:rsidRPr="00D551F5" w:rsidRDefault="00EC1A23" w:rsidP="00D551F5">
      <w:pPr>
        <w:pStyle w:val="NormalWeb"/>
        <w:spacing w:before="0" w:beforeAutospacing="0" w:after="0" w:afterAutospacing="0"/>
        <w:jc w:val="both"/>
      </w:pPr>
      <w:r w:rsidRPr="00D551F5">
        <w:rPr>
          <w:b/>
          <w:u w:val="single"/>
        </w:rPr>
        <w:t>Caso Clínico 2:</w:t>
      </w:r>
      <w:r w:rsidRPr="00D551F5">
        <w:t xml:space="preserve"> RN asignado sexo femenino, 1° hija de padres sanos no consanguíneos, sin antecedentes familiares de importancia. Con hernia inguinal bilateral en periodo RN. Durante la </w:t>
      </w:r>
      <w:proofErr w:type="spellStart"/>
      <w:r w:rsidRPr="00D551F5">
        <w:t>hernioplastía</w:t>
      </w:r>
      <w:proofErr w:type="spellEnd"/>
      <w:r w:rsidRPr="00D551F5">
        <w:t xml:space="preserve"> se observaron gónadas y la biopsia confirmó tejido testicular. Vaginoscopía intraoperatoria no mostró cuello uterino. Cariotipo 46, XY. Examen físico a los 9 años: Talla +1.4 DE, mamas Tanner 2, Vello Pubiano Tanner 1, sin clitoromegalia, masas palpables en zona inguinal. Exámenes: FSH 5,1 y LH 1,5 mUI/ml (VR en mujeres: 1 - 10.8, y 0.02 - 4.7 mUI/ml respectivamente), TT 6,2 ng/dl (VR en mujeres: &lt;2.5 - 10.4 ng/dl), AMH 75 ng/ml (VR en mujeres: 1-12 ng/ml). La secuenciación del gen </w:t>
      </w:r>
      <w:r w:rsidRPr="00D551F5">
        <w:rPr>
          <w:rStyle w:val="nfasis"/>
        </w:rPr>
        <w:t xml:space="preserve">AR </w:t>
      </w:r>
      <w:r w:rsidRPr="00D551F5">
        <w:t xml:space="preserve">mostró una variante patogénica previamente descrita en el exón 5: p.Arg752Gln. El estudio molecular de la madre fue positivo para la misma variante. </w:t>
      </w:r>
    </w:p>
    <w:p w:rsidR="001E0A83" w:rsidRPr="00D551F5" w:rsidRDefault="00EC1A23" w:rsidP="00D551F5">
      <w:pPr>
        <w:pStyle w:val="NormalWeb"/>
        <w:spacing w:before="0" w:beforeAutospacing="0" w:after="0" w:afterAutospacing="0"/>
        <w:jc w:val="both"/>
      </w:pPr>
      <w:r w:rsidRPr="00D551F5">
        <w:rPr>
          <w:rStyle w:val="Textoennegrita"/>
        </w:rPr>
        <w:t>Comentarios</w:t>
      </w:r>
      <w:r w:rsidRPr="00D551F5">
        <w:t>: El fenotipo más común en pacientes con CAIS es el de un RN con hernia inguinal bilateral o adolescente con amenorrea primaria. En PAIS, el fenotipo suele ser variable abarcando un amplio espectro clínico de subvirilización que se superpone a otros diagnósticos de DSD. En estos casos el estudio molecular es una herramienta importante para la confirmación diagnóstica, orientar el manejo a largo plazo y para el asesoramiento genético.</w:t>
      </w:r>
    </w:p>
    <w:p w:rsidR="00EC1A23" w:rsidRPr="00D551F5" w:rsidRDefault="00EC1A23" w:rsidP="00D5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F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C1A23" w:rsidRPr="00D551F5" w:rsidSect="001E0A83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1C03"/>
    <w:rsid w:val="001E0A83"/>
    <w:rsid w:val="00400A81"/>
    <w:rsid w:val="006E670A"/>
    <w:rsid w:val="00881C03"/>
    <w:rsid w:val="008D51C7"/>
    <w:rsid w:val="00D551F5"/>
    <w:rsid w:val="00EC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A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0A83"/>
    <w:rPr>
      <w:b/>
      <w:bCs/>
    </w:rPr>
  </w:style>
  <w:style w:type="character" w:styleId="nfasis">
    <w:name w:val="Emphasis"/>
    <w:basedOn w:val="Fuentedeprrafopredeter"/>
    <w:uiPriority w:val="20"/>
    <w:qFormat/>
    <w:rsid w:val="001E0A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2017-08-25T16:03:00Z</cp:lastPrinted>
  <dcterms:created xsi:type="dcterms:W3CDTF">2017-10-09T16:27:00Z</dcterms:created>
  <dcterms:modified xsi:type="dcterms:W3CDTF">2017-10-09T16:27:00Z</dcterms:modified>
</cp:coreProperties>
</file>