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A" w:rsidRDefault="00D84C32" w:rsidP="009F15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eastAsia="Times New Roman"/>
          <w:b/>
          <w:bCs/>
        </w:rPr>
        <w:t>P 95</w:t>
      </w:r>
      <w:r w:rsidR="00661364">
        <w:rPr>
          <w:rFonts w:eastAsia="Times New Roman"/>
          <w:b/>
          <w:bCs/>
        </w:rPr>
        <w:br/>
        <w:t>HIPERCALCEMIA SEVERA COMO PRIMERA MANIFESTACIÓN DE UNA MIOSITIS AGUDA INESPECÍFICA EN UNA NIÑA DE 11 AÑOS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="00DE17B9">
        <w:rPr>
          <w:rFonts w:ascii="Times New Roman" w:eastAsia="Times New Roman" w:hAnsi="Times New Roman" w:cs="Times New Roman"/>
          <w:sz w:val="24"/>
          <w:szCs w:val="24"/>
        </w:rPr>
        <w:t>arolina Garfias Von Furstenberg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E17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</w:rPr>
        <w:t>F</w:t>
      </w:r>
      <w:r w:rsidR="00DE17B9">
        <w:rPr>
          <w:rFonts w:ascii="Times New Roman" w:eastAsia="Times New Roman" w:hAnsi="Times New Roman" w:cs="Times New Roman"/>
          <w:sz w:val="24"/>
          <w:szCs w:val="24"/>
        </w:rPr>
        <w:t>rancisca Ugarte Palacios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</w:rPr>
        <w:t>, Cecilia Méndez Rivera</w:t>
      </w:r>
      <w:r w:rsidR="009F1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</w:rPr>
        <w:t>, Paula Guzmán Merino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</w:rPr>
        <w:t>, José Santander Cerón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661364" w:rsidRPr="009F155A">
        <w:rPr>
          <w:rFonts w:ascii="Times New Roman" w:eastAsia="Times New Roman" w:hAnsi="Times New Roman" w:cs="Times New Roman"/>
          <w:sz w:val="24"/>
          <w:szCs w:val="24"/>
        </w:rPr>
        <w:t>, Pedro Zambrano Ostaiza</w:t>
      </w:r>
      <w:r w:rsidR="009F1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0E08D3" w:rsidRDefault="00661364" w:rsidP="009F155A">
      <w:pPr>
        <w:spacing w:after="0" w:line="240" w:lineRule="auto"/>
      </w:pPr>
      <w:r w:rsidRPr="009F1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9F155A">
        <w:rPr>
          <w:rFonts w:ascii="Times New Roman" w:eastAsia="Times New Roman" w:hAnsi="Times New Roman" w:cs="Times New Roman"/>
          <w:sz w:val="24"/>
          <w:szCs w:val="24"/>
        </w:rPr>
        <w:t>Clí</w:t>
      </w:r>
      <w:r w:rsidRPr="009F155A">
        <w:rPr>
          <w:rFonts w:ascii="Times New Roman" w:eastAsia="Times New Roman" w:hAnsi="Times New Roman" w:cs="Times New Roman"/>
          <w:sz w:val="24"/>
          <w:szCs w:val="24"/>
        </w:rPr>
        <w:t xml:space="preserve">nica Universidad de los Andes, </w:t>
      </w:r>
      <w:r w:rsidRPr="009F155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9F155A">
        <w:rPr>
          <w:rFonts w:ascii="Times New Roman" w:eastAsia="Times New Roman" w:hAnsi="Times New Roman" w:cs="Times New Roman"/>
          <w:sz w:val="24"/>
          <w:szCs w:val="24"/>
        </w:rPr>
        <w:t>Universidad de Los Andes</w:t>
      </w:r>
      <w:r w:rsidRPr="009F155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E08D3" w:rsidRDefault="00661364" w:rsidP="009F155A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 xml:space="preserve">Introducción: </w:t>
      </w:r>
      <w:r>
        <w:t>La hipercalcemia es infrecuente en niños y adolescentes. Suele ser sintomática en niños pequeños y rara vez es detectada por exámenes de laboratorio de rutina. Las causas pueden ser hiperparatiroidismo primario, ingesta de excesiva de calcio y/o Vitamina D, producción ectópica de 1,25-dihidroxi vitamina D, alteración de la degradación de 1,25(OH</w:t>
      </w:r>
      <w:proofErr w:type="gramStart"/>
      <w:r>
        <w:t>)</w:t>
      </w:r>
      <w:r>
        <w:rPr>
          <w:vertAlign w:val="subscript"/>
        </w:rPr>
        <w:t>2</w:t>
      </w:r>
      <w:r>
        <w:t>D</w:t>
      </w:r>
      <w:proofErr w:type="gramEnd"/>
      <w:r>
        <w:t xml:space="preserve"> y asociado a malignidad. </w:t>
      </w:r>
    </w:p>
    <w:p w:rsidR="000E08D3" w:rsidRDefault="00661364" w:rsidP="009F155A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Objetivo:</w:t>
      </w:r>
      <w:r>
        <w:t xml:space="preserve"> Presentar un caso de hipercalcemia severa en una adolescente con astenia y sin diagnóstico previo.</w:t>
      </w:r>
    </w:p>
    <w:p w:rsidR="000E08D3" w:rsidRDefault="00661364" w:rsidP="009F155A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Caso:</w:t>
      </w:r>
      <w:r>
        <w:t xml:space="preserve"> Niña de 11 años con historia de 6 meses de astenia y anorexia, sin hallazgos al examen físico, que fue ingresada a unidad de cuidados intensivos por hipercalcemia y falla renal aguda. Los exámenes de laboratorio revelaron: calcemia 13,8 mg/dl (8,5-10,5), calcio iónico 6,89 mg/dl, creatinina 1,2 mg/dl, BUN 33 mg/dl, calciuria/creatininuria 0,58 (VR &lt; 0.2). Magnesio y fósforo normales, hemograma, perfil hepático, radiografía de tórax y ecografía abdominal normales. Paratohormona intacta (</w:t>
      </w:r>
      <w:proofErr w:type="spellStart"/>
      <w:r>
        <w:t>iPTH</w:t>
      </w:r>
      <w:proofErr w:type="spellEnd"/>
      <w:r>
        <w:t>) 3,0 pg/ml (8-72) y vitamina D 20,8 ng/ml. (20 – 100). Se manejó con hiperhidración y furosemida, observándose normalización gradual de la calcemia. Se planteó una hipercalcemia independiente de PTH. Se continuó estudio con mielograma que fue negativo para células malignas, cintigrama óseo normal y PTHrp de 1pmol/l (VR &lt; 2). PET CT con FDG (fluordeoxiglucosa) reveló una captación intensa en la musculatura axial y de extremidades inferiores. RNM de extremidades inferiores mostró una miofasceitis difusa, bilateral y simétrica; líquido articular aumentado asociado a una sinovitis de rodillas. La biopsia muscular demostró una miositis inespecífica, la inmunohistoquímica reveló infiltración por linfocitos T predominantemente CD8 y CD3, sugerente de polimiositis. La biopsia de piel reveló una dermatitis moderada con compromiso perivascular y no se encontraron granulomas. LDH 411,7 U/L, creatinkinasa normal y enzima convertidora de angiotensina (ACE) de 183 U/</w:t>
      </w:r>
      <w:proofErr w:type="gramStart"/>
      <w:r>
        <w:t>l(</w:t>
      </w:r>
      <w:proofErr w:type="gramEnd"/>
      <w:r>
        <w:t>8-52). Los anticuerpos c-ANCA, p-ANCA, anti-DNA plasmáticos, anticuerpos anticardiolipinasy factor reumatoideo fueron negativos. Los anticuerpos anti nucleares (ANA) fueron positivos 1/320, con patrón moteado. C3 normal y C4 bajo (13,5 mg/dl). No se encontró uveítis al examen oftalmológico con dilatación pupilar. Se inició tratamiento con Prednisona 1mg/kg por día, con buena respuesta clínica.</w:t>
      </w:r>
    </w:p>
    <w:p w:rsidR="000E08D3" w:rsidRDefault="00661364" w:rsidP="009F155A">
      <w:pPr>
        <w:pStyle w:val="NormalWeb"/>
        <w:spacing w:before="0" w:beforeAutospacing="0" w:after="0" w:afterAutospacing="0"/>
        <w:jc w:val="both"/>
      </w:pPr>
      <w:r>
        <w:rPr>
          <w:rStyle w:val="Textoennegrita"/>
        </w:rPr>
        <w:t>Conclusión</w:t>
      </w:r>
      <w:r>
        <w:t>: La hipercalcemia puede ser una manifestación inicial grave asociada a miositis inespecífica en adolescentes. El estudio bien dirigido, permite llegar a un diagnostico raramente descrito en niños y adolescentes.</w:t>
      </w:r>
    </w:p>
    <w:p w:rsidR="00661364" w:rsidRDefault="00661364" w:rsidP="009F155A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br/>
      </w:r>
    </w:p>
    <w:sectPr w:rsidR="00661364" w:rsidSect="000E08D3">
      <w:pgSz w:w="12240" w:h="15840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34BF"/>
    <w:rsid w:val="000E08D3"/>
    <w:rsid w:val="00661364"/>
    <w:rsid w:val="00781661"/>
    <w:rsid w:val="009F155A"/>
    <w:rsid w:val="00AF7096"/>
    <w:rsid w:val="00C54A74"/>
    <w:rsid w:val="00D84C32"/>
    <w:rsid w:val="00DE17B9"/>
    <w:rsid w:val="00F4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8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E08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</dc:creator>
  <cp:lastModifiedBy>Claudio Storm</cp:lastModifiedBy>
  <cp:revision>2</cp:revision>
  <cp:lastPrinted>2017-08-25T21:19:00Z</cp:lastPrinted>
  <dcterms:created xsi:type="dcterms:W3CDTF">2017-10-09T16:29:00Z</dcterms:created>
  <dcterms:modified xsi:type="dcterms:W3CDTF">2017-10-09T16:29:00Z</dcterms:modified>
</cp:coreProperties>
</file>