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62" w:rsidRPr="00F74A38" w:rsidRDefault="007D6667" w:rsidP="00F7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 96</w:t>
      </w:r>
      <w:r w:rsidR="003F05EE">
        <w:rPr>
          <w:rFonts w:eastAsia="Times New Roman"/>
          <w:b/>
          <w:bCs/>
        </w:rPr>
        <w:br/>
        <w:t>OSTEOPOROSIS GRAVE Y OSTEOMALACIA POR SINDROME DE FANCONI INDUCIDO POR TENOFOVIR EN UN HOMBRE JOVEN</w:t>
      </w:r>
      <w:r w:rsidR="003F05EE">
        <w:rPr>
          <w:rFonts w:eastAsia="Times New Roman"/>
        </w:rPr>
        <w:br/>
      </w:r>
      <w:r w:rsidR="00BB2F07">
        <w:rPr>
          <w:rFonts w:ascii="Times New Roman" w:eastAsia="Times New Roman" w:hAnsi="Times New Roman" w:cs="Times New Roman"/>
          <w:sz w:val="24"/>
          <w:szCs w:val="24"/>
        </w:rPr>
        <w:t>Rosa Sequera Romero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atalina Tobar Bustos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, Alfa Price Monje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aría Soledad Báez Poblete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arcela Díaz Cánepa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nabel Bate Fliegel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ictoria Novik Assael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br/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Residente Medicina Interna Universidad de Valparaíso, Servicio de Medicina Inter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na, Hospital Dr. Gustavo Fricke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Hospital D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r. Gustavo Fricke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 xml:space="preserve">Servicio de Medicina Interna, Hospital Dr. Gustavo Fricke, 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t>Servicio de Medicina Interna, Hospital D</w:t>
      </w:r>
      <w:r w:rsidR="00BB2F07">
        <w:rPr>
          <w:rFonts w:ascii="Times New Roman" w:eastAsia="Times New Roman" w:hAnsi="Times New Roman" w:cs="Times New Roman"/>
          <w:sz w:val="24"/>
          <w:szCs w:val="24"/>
        </w:rPr>
        <w:t>r. Gustavo Fricke</w:t>
      </w:r>
      <w:r w:rsidR="003F05EE" w:rsidRPr="00F74A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762" w:rsidRPr="00F74A38" w:rsidRDefault="003F05EE" w:rsidP="00F74A38">
      <w:pPr>
        <w:pStyle w:val="NormalWeb"/>
        <w:spacing w:before="0" w:beforeAutospacing="0" w:after="0" w:afterAutospacing="0"/>
        <w:jc w:val="both"/>
      </w:pPr>
      <w:r w:rsidRPr="00F74A38">
        <w:t xml:space="preserve">Se presenta el caso de un hombre de 46 años portador de VIH diagnosticado en 2012 en estadio C3, con buena respuesta a terapia antiretroviral (emtricitabina, tenofovir y efavirenz) e historia de debilidad muscular progresiva desde 2013, dolor osteo-muscular y sarcopenia que llega a la postración. Cursó con fractura de tibia izquierda en 2015 tras caída a nivel, con consolidación anómala. En junio de 2016 el estudio mostró una creatininemia de 0,7 mg/dL, uremia 15 mg/dL, calcemia 8,1 mg/dL (Albúmina 3,2 g/dL), fosfemia 1 mg/dL, Fosfatasa Alcalina 754 U/L con GGTP normal, PTHi 14,3 pg/mL, 25 hidroxivitamina D 8,1 ng/mL, calciuria de 187,5 mg/24 </w:t>
      </w:r>
      <w:proofErr w:type="spellStart"/>
      <w:r w:rsidRPr="00F74A38">
        <w:t>hr</w:t>
      </w:r>
      <w:proofErr w:type="spellEnd"/>
      <w:r w:rsidRPr="00F74A38">
        <w:t xml:space="preserve"> y una tasa de reabsorción tubular máxima de fósforo (RTMP) de 0,6 mg/dL con un fósforo sérico de 1,8 mg/dL, comprobándose una pérdida renal de fósforo y catalogándose como un Síndrome de Fanconi inducido por tenofovir. Mediante radiografías de columna lumbar y dorsal se objetivaron múltiples fracturas costales bilaterales y una densitometría ósea (DXA) que mostró una densidad mineral (DMO) disminuida para la edad con Z score -7,4 en L2-L4 (0,342 g/cm2), -5,1 CFI (0,345 g/cm2) y -4,1 CFD (0,476 g/cm2). Se descartó hipogonadismo. Tras suspender el tenofovir, iniciar aporte de calcio en dieta, carbonato de calcio 500 mg c/ 12 horas, calcitriol 0,25 </w:t>
      </w:r>
      <w:proofErr w:type="spellStart"/>
      <w:r w:rsidRPr="00F74A38">
        <w:t>mcg</w:t>
      </w:r>
      <w:proofErr w:type="spellEnd"/>
      <w:r w:rsidRPr="00F74A38">
        <w:t xml:space="preserve"> x día y vitamina D (100.000 UI mensual x 3 veces y luego 1000 UI/día) hubo alivio sintomático y se objetivó incremento progresivo de la RTMP, normalización del fosfemia y calcemia. A 12 meses mantiene una calcemia, fosfemia y valor de 25 OH vitamina D en rango normal, con una DXA con ganancia de masa ósea de 27,9% en CFD, 46% en CFI y 63% en L2-L4. El paciente logra bipedestar sin ayuda.</w:t>
      </w:r>
    </w:p>
    <w:p w:rsidR="00992762" w:rsidRPr="00F74A38" w:rsidRDefault="003F05EE" w:rsidP="00F74A38">
      <w:pPr>
        <w:pStyle w:val="NormalWeb"/>
        <w:spacing w:before="0" w:beforeAutospacing="0" w:after="0" w:afterAutospacing="0"/>
        <w:jc w:val="both"/>
      </w:pPr>
      <w:r w:rsidRPr="00F74A38">
        <w:t>En este caso clínico se refleja la coexistencia de factores propios de la enfermedad de base sobre la función de las glándulas paratiroides y metabolismo de la vitamina D y la influencia de algunas drogas antiretrovirales sobre el metabolismo óseo (efavirez, tenofovir, ritonavir), que, de no ser identificados y manejados a tiempo pueden alcanzar consecuencias graves sobre la salud ósea. En última instancia se busca visibilizar la existencia de grupos específicos de pacientes de alto riesgo de osteoporosis, osteomalacia y fractura quienes podrían beneficiarse de una pesquisa precoz y manejo preventivo.</w:t>
      </w:r>
    </w:p>
    <w:p w:rsidR="003F05EE" w:rsidRPr="00F74A38" w:rsidRDefault="003F05EE" w:rsidP="00F7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A3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F05EE" w:rsidRPr="00F74A38" w:rsidSect="0099276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4B6F"/>
    <w:rsid w:val="003F05EE"/>
    <w:rsid w:val="007D6667"/>
    <w:rsid w:val="00992762"/>
    <w:rsid w:val="009A3522"/>
    <w:rsid w:val="00BB2F07"/>
    <w:rsid w:val="00E25D77"/>
    <w:rsid w:val="00F24B6F"/>
    <w:rsid w:val="00F7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7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2017-08-25T21:27:00Z</cp:lastPrinted>
  <dcterms:created xsi:type="dcterms:W3CDTF">2017-10-09T16:30:00Z</dcterms:created>
  <dcterms:modified xsi:type="dcterms:W3CDTF">2017-10-09T16:30:00Z</dcterms:modified>
</cp:coreProperties>
</file>